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A243A2">
      <w:pPr>
        <w:spacing w:line="360" w:lineRule="auto"/>
        <w:jc w:val="center"/>
        <w:rPr>
          <w:rFonts w:hint="eastAsia" w:cs="方正仿宋_GBK" w:asciiTheme="minorEastAsia" w:hAnsiTheme="minorEastAsia" w:eastAsiaTheme="minorEastAsia"/>
          <w:b/>
          <w:spacing w:val="24"/>
          <w:sz w:val="32"/>
          <w:szCs w:val="32"/>
        </w:rPr>
      </w:pPr>
      <w:bookmarkStart w:id="0" w:name="OLE_LINK33"/>
      <w:bookmarkStart w:id="1" w:name="OLE_LINK36"/>
      <w:bookmarkStart w:id="2" w:name="OLE_LINK37"/>
      <w:bookmarkStart w:id="3" w:name="OLE_LINK59"/>
      <w:bookmarkStart w:id="4" w:name="OLE_LINK60"/>
      <w:r>
        <w:rPr>
          <w:rFonts w:hint="eastAsia" w:cs="方正仿宋_GBK" w:asciiTheme="minorEastAsia" w:hAnsiTheme="minorEastAsia" w:eastAsiaTheme="minorEastAsia"/>
          <w:b/>
          <w:spacing w:val="24"/>
          <w:sz w:val="32"/>
          <w:szCs w:val="32"/>
          <w:lang w:eastAsia="zh-CN"/>
        </w:rPr>
        <w:t>禄劝民发建材有限责任公司</w:t>
      </w:r>
      <w:r>
        <w:rPr>
          <w:rFonts w:cs="方正仿宋_GBK" w:asciiTheme="minorEastAsia" w:hAnsiTheme="minorEastAsia" w:eastAsiaTheme="minorEastAsia"/>
          <w:b/>
          <w:spacing w:val="24"/>
          <w:sz w:val="32"/>
          <w:szCs w:val="32"/>
        </w:rPr>
        <w:t>茂龙页岩砖厂</w:t>
      </w:r>
      <w:bookmarkEnd w:id="0"/>
      <w:bookmarkEnd w:id="1"/>
      <w:bookmarkEnd w:id="2"/>
    </w:p>
    <w:p w14:paraId="4684C680">
      <w:pPr>
        <w:spacing w:line="360" w:lineRule="auto"/>
        <w:jc w:val="center"/>
        <w:rPr>
          <w:rFonts w:hint="eastAsia" w:cs="方正仿宋_GBK" w:asciiTheme="minorEastAsia" w:hAnsiTheme="minorEastAsia" w:eastAsiaTheme="minorEastAsia"/>
          <w:b/>
          <w:spacing w:val="24"/>
          <w:sz w:val="32"/>
          <w:szCs w:val="32"/>
        </w:rPr>
      </w:pPr>
      <w:r>
        <w:rPr>
          <w:rFonts w:cs="方正仿宋_GBK" w:asciiTheme="minorEastAsia" w:hAnsiTheme="minorEastAsia" w:eastAsiaTheme="minorEastAsia"/>
          <w:b/>
          <w:spacing w:val="24"/>
          <w:sz w:val="32"/>
          <w:szCs w:val="32"/>
        </w:rPr>
        <w:t>矿区生态修复方案</w:t>
      </w:r>
      <w:bookmarkEnd w:id="3"/>
      <w:bookmarkEnd w:id="4"/>
      <w:r>
        <w:rPr>
          <w:rFonts w:hint="eastAsia" w:cs="方正仿宋_GBK" w:asciiTheme="minorEastAsia" w:hAnsiTheme="minorEastAsia" w:eastAsiaTheme="minorEastAsia"/>
          <w:b/>
          <w:spacing w:val="24"/>
          <w:sz w:val="32"/>
          <w:szCs w:val="32"/>
        </w:rPr>
        <w:t>专家组审查意见</w:t>
      </w:r>
    </w:p>
    <w:tbl>
      <w:tblPr>
        <w:tblStyle w:val="2"/>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5"/>
        <w:gridCol w:w="2968"/>
        <w:gridCol w:w="3061"/>
      </w:tblGrid>
      <w:tr w14:paraId="71B5D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75" w:type="dxa"/>
            <w:vAlign w:val="center"/>
          </w:tcPr>
          <w:p w14:paraId="15530125">
            <w:pPr>
              <w:jc w:val="center"/>
              <w:rPr>
                <w:rFonts w:hint="eastAsia"/>
                <w:color w:val="000000"/>
                <w:sz w:val="24"/>
              </w:rPr>
            </w:pPr>
            <w:r>
              <w:rPr>
                <w:rFonts w:hint="eastAsia" w:ascii="宋体" w:cs="宋体" w:hAnsiTheme="minorHAnsi"/>
                <w:kern w:val="0"/>
                <w:sz w:val="24"/>
              </w:rPr>
              <w:t>采矿权人名称</w:t>
            </w:r>
          </w:p>
        </w:tc>
        <w:tc>
          <w:tcPr>
            <w:tcW w:w="6029" w:type="dxa"/>
            <w:gridSpan w:val="2"/>
            <w:vAlign w:val="center"/>
          </w:tcPr>
          <w:p w14:paraId="1D12766A">
            <w:pPr>
              <w:jc w:val="center"/>
              <w:rPr>
                <w:rFonts w:hint="eastAsia"/>
                <w:color w:val="000000"/>
                <w:sz w:val="24"/>
              </w:rPr>
            </w:pPr>
            <w:r>
              <w:rPr>
                <w:rFonts w:hint="eastAsia"/>
                <w:color w:val="000000"/>
                <w:sz w:val="24"/>
              </w:rPr>
              <w:t>禄劝民发建材有限责任公司</w:t>
            </w:r>
          </w:p>
        </w:tc>
      </w:tr>
      <w:tr w14:paraId="4E353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75" w:type="dxa"/>
            <w:vAlign w:val="center"/>
          </w:tcPr>
          <w:p w14:paraId="058B8DDA">
            <w:pPr>
              <w:jc w:val="center"/>
              <w:rPr>
                <w:color w:val="000000"/>
                <w:sz w:val="24"/>
              </w:rPr>
            </w:pPr>
            <w:r>
              <w:rPr>
                <w:rFonts w:hint="eastAsia"/>
                <w:color w:val="000000"/>
                <w:sz w:val="24"/>
              </w:rPr>
              <w:t>矿山名称</w:t>
            </w:r>
          </w:p>
        </w:tc>
        <w:tc>
          <w:tcPr>
            <w:tcW w:w="6029" w:type="dxa"/>
            <w:gridSpan w:val="2"/>
            <w:vAlign w:val="center"/>
          </w:tcPr>
          <w:p w14:paraId="7137EE33">
            <w:pPr>
              <w:jc w:val="center"/>
              <w:rPr>
                <w:rFonts w:hint="eastAsia"/>
                <w:color w:val="000000"/>
                <w:sz w:val="24"/>
              </w:rPr>
            </w:pPr>
            <w:r>
              <w:rPr>
                <w:rFonts w:hint="eastAsia"/>
                <w:color w:val="000000"/>
                <w:sz w:val="24"/>
              </w:rPr>
              <w:t>禄劝民发建材有限责任公司茂龙页岩砖厂</w:t>
            </w:r>
          </w:p>
        </w:tc>
      </w:tr>
      <w:tr w14:paraId="36BEB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2875" w:type="dxa"/>
            <w:vAlign w:val="center"/>
          </w:tcPr>
          <w:p w14:paraId="2D9FF922">
            <w:pPr>
              <w:jc w:val="center"/>
              <w:rPr>
                <w:rFonts w:hint="eastAsia"/>
                <w:color w:val="000000"/>
                <w:sz w:val="24"/>
              </w:rPr>
            </w:pPr>
            <w:r>
              <w:rPr>
                <w:rFonts w:hint="eastAsia"/>
                <w:color w:val="000000"/>
                <w:sz w:val="24"/>
              </w:rPr>
              <w:t>方案编制单位</w:t>
            </w:r>
          </w:p>
        </w:tc>
        <w:tc>
          <w:tcPr>
            <w:tcW w:w="6029" w:type="dxa"/>
            <w:gridSpan w:val="2"/>
            <w:vAlign w:val="center"/>
          </w:tcPr>
          <w:p w14:paraId="58FB75FA">
            <w:pPr>
              <w:jc w:val="center"/>
              <w:rPr>
                <w:rFonts w:hint="eastAsia"/>
                <w:color w:val="000000"/>
                <w:sz w:val="24"/>
              </w:rPr>
            </w:pPr>
            <w:r>
              <w:rPr>
                <w:color w:val="000000"/>
                <w:sz w:val="24"/>
              </w:rPr>
              <w:t>核工业江西工程勘察研究总院有限公司</w:t>
            </w:r>
          </w:p>
        </w:tc>
      </w:tr>
      <w:tr w14:paraId="7FFE6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75" w:type="dxa"/>
            <w:vMerge w:val="restart"/>
            <w:vAlign w:val="center"/>
          </w:tcPr>
          <w:p w14:paraId="33D5EDE3">
            <w:pPr>
              <w:jc w:val="center"/>
              <w:rPr>
                <w:rFonts w:hint="eastAsia"/>
                <w:color w:val="000000"/>
                <w:sz w:val="24"/>
              </w:rPr>
            </w:pPr>
            <w:r>
              <w:rPr>
                <w:rFonts w:hint="eastAsia" w:ascii="宋体" w:cs="宋体" w:hAnsiTheme="minorHAnsi"/>
                <w:kern w:val="0"/>
                <w:sz w:val="24"/>
              </w:rPr>
              <w:t>矿区基础面积信息</w:t>
            </w:r>
          </w:p>
        </w:tc>
        <w:tc>
          <w:tcPr>
            <w:tcW w:w="2968" w:type="dxa"/>
            <w:vAlign w:val="center"/>
          </w:tcPr>
          <w:p w14:paraId="2A61D485">
            <w:pPr>
              <w:jc w:val="center"/>
              <w:rPr>
                <w:rFonts w:hint="eastAsia"/>
                <w:color w:val="000000"/>
                <w:sz w:val="24"/>
              </w:rPr>
            </w:pPr>
            <w:r>
              <w:rPr>
                <w:rFonts w:hint="eastAsia"/>
                <w:color w:val="000000"/>
                <w:sz w:val="24"/>
              </w:rPr>
              <w:t>矿区面积</w:t>
            </w:r>
          </w:p>
        </w:tc>
        <w:tc>
          <w:tcPr>
            <w:tcW w:w="3061" w:type="dxa"/>
            <w:vAlign w:val="center"/>
          </w:tcPr>
          <w:p w14:paraId="77600C0D">
            <w:pPr>
              <w:spacing w:line="260" w:lineRule="exact"/>
              <w:jc w:val="center"/>
              <w:rPr>
                <w:rFonts w:hint="eastAsia" w:ascii="宋体" w:hAnsi="宋体" w:cs="宋体"/>
                <w:color w:val="000000"/>
                <w:sz w:val="24"/>
              </w:rPr>
            </w:pPr>
            <w:r>
              <w:rPr>
                <w:rFonts w:hint="eastAsia" w:ascii="宋体" w:hAnsi="宋体" w:cs="宋体"/>
                <w:color w:val="000000"/>
                <w:sz w:val="24"/>
              </w:rPr>
              <w:t>1.7607公顷</w:t>
            </w:r>
          </w:p>
        </w:tc>
      </w:tr>
      <w:tr w14:paraId="63999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75" w:type="dxa"/>
            <w:vMerge w:val="continue"/>
            <w:vAlign w:val="center"/>
          </w:tcPr>
          <w:p w14:paraId="13838FD4">
            <w:pPr>
              <w:jc w:val="center"/>
              <w:rPr>
                <w:color w:val="000000"/>
                <w:sz w:val="24"/>
              </w:rPr>
            </w:pPr>
          </w:p>
        </w:tc>
        <w:tc>
          <w:tcPr>
            <w:tcW w:w="2968" w:type="dxa"/>
            <w:vAlign w:val="center"/>
          </w:tcPr>
          <w:p w14:paraId="5BA567EE">
            <w:pPr>
              <w:jc w:val="center"/>
              <w:rPr>
                <w:rFonts w:hint="eastAsia"/>
                <w:color w:val="000000"/>
                <w:sz w:val="24"/>
              </w:rPr>
            </w:pPr>
            <w:r>
              <w:rPr>
                <w:rFonts w:hint="eastAsia" w:ascii="宋体" w:cs="宋体" w:hAnsiTheme="minorHAnsi"/>
                <w:kern w:val="0"/>
                <w:sz w:val="24"/>
              </w:rPr>
              <w:t>矿区生态修复责任面</w:t>
            </w:r>
            <w:r>
              <w:rPr>
                <w:rFonts w:hint="eastAsia"/>
                <w:color w:val="000000"/>
                <w:sz w:val="24"/>
              </w:rPr>
              <w:t>积</w:t>
            </w:r>
          </w:p>
        </w:tc>
        <w:tc>
          <w:tcPr>
            <w:tcW w:w="3061" w:type="dxa"/>
            <w:vAlign w:val="center"/>
          </w:tcPr>
          <w:p w14:paraId="0AF0655B">
            <w:pPr>
              <w:spacing w:line="260" w:lineRule="exact"/>
              <w:jc w:val="center"/>
              <w:rPr>
                <w:rFonts w:hint="eastAsia" w:ascii="宋体" w:hAnsi="宋体" w:cs="宋体"/>
                <w:color w:val="000000"/>
                <w:sz w:val="24"/>
              </w:rPr>
            </w:pPr>
            <w:r>
              <w:rPr>
                <w:rFonts w:hint="eastAsia" w:ascii="宋体" w:hAnsi="宋体" w:cs="宋体"/>
                <w:color w:val="000000"/>
                <w:sz w:val="24"/>
              </w:rPr>
              <w:t>3.6496公顷</w:t>
            </w:r>
          </w:p>
        </w:tc>
      </w:tr>
      <w:tr w14:paraId="39971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75" w:type="dxa"/>
            <w:vAlign w:val="center"/>
          </w:tcPr>
          <w:p w14:paraId="58BB2C5F">
            <w:pPr>
              <w:jc w:val="center"/>
              <w:rPr>
                <w:rFonts w:hint="eastAsia"/>
                <w:color w:val="000000"/>
                <w:sz w:val="24"/>
              </w:rPr>
            </w:pPr>
            <w:r>
              <w:rPr>
                <w:rFonts w:hint="eastAsia" w:ascii="宋体" w:cs="宋体" w:hAnsiTheme="minorHAnsi"/>
                <w:kern w:val="0"/>
                <w:sz w:val="24"/>
              </w:rPr>
              <w:t>方案服务年</w:t>
            </w:r>
            <w:r>
              <w:rPr>
                <w:rFonts w:hint="eastAsia"/>
                <w:color w:val="000000"/>
                <w:sz w:val="24"/>
              </w:rPr>
              <w:t>限</w:t>
            </w:r>
          </w:p>
        </w:tc>
        <w:tc>
          <w:tcPr>
            <w:tcW w:w="6029" w:type="dxa"/>
            <w:gridSpan w:val="2"/>
            <w:vAlign w:val="center"/>
          </w:tcPr>
          <w:p w14:paraId="4C0876C4">
            <w:pPr>
              <w:spacing w:line="260" w:lineRule="exact"/>
              <w:jc w:val="center"/>
              <w:rPr>
                <w:rFonts w:hint="eastAsia" w:ascii="宋体" w:hAnsi="宋体" w:cs="宋体"/>
                <w:color w:val="000000"/>
                <w:sz w:val="24"/>
              </w:rPr>
            </w:pPr>
            <w:r>
              <w:rPr>
                <w:rFonts w:hint="eastAsia" w:ascii="宋体" w:hAnsi="宋体" w:cs="宋体"/>
                <w:color w:val="000000"/>
                <w:sz w:val="24"/>
              </w:rPr>
              <w:t>8年（2026年10月～2034年10月）</w:t>
            </w:r>
          </w:p>
        </w:tc>
      </w:tr>
      <w:tr w14:paraId="6E478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04" w:type="dxa"/>
            <w:gridSpan w:val="3"/>
            <w:vAlign w:val="center"/>
          </w:tcPr>
          <w:p w14:paraId="5EA2DE8A">
            <w:pPr>
              <w:spacing w:line="360" w:lineRule="auto"/>
              <w:ind w:firstLine="480" w:firstLineChars="200"/>
              <w:jc w:val="left"/>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2026</w:t>
            </w:r>
            <w:r>
              <w:rPr>
                <w:rFonts w:hint="eastAsia" w:cs="宋体" w:asciiTheme="minorEastAsia" w:hAnsiTheme="minorEastAsia" w:eastAsiaTheme="minorEastAsia"/>
                <w:color w:val="000000"/>
                <w:sz w:val="24"/>
              </w:rPr>
              <w:t>年9月8日，</w:t>
            </w:r>
            <w:r>
              <w:rPr>
                <w:rFonts w:hint="eastAsia" w:asciiTheme="minorEastAsia" w:hAnsiTheme="minorEastAsia" w:eastAsiaTheme="minorEastAsia"/>
                <w:color w:val="000000"/>
                <w:sz w:val="24"/>
              </w:rPr>
              <w:t>受禄劝彝族苗族自治县自然资源局委托，</w:t>
            </w:r>
            <w:r>
              <w:rPr>
                <w:rFonts w:hint="eastAsia" w:cs="宋体" w:asciiTheme="minorEastAsia" w:hAnsiTheme="minorEastAsia" w:eastAsiaTheme="minorEastAsia"/>
                <w:color w:val="000000"/>
                <w:sz w:val="24"/>
              </w:rPr>
              <w:t>昆明市土地开发整理中心呈贡分院在昆明组织专家对</w:t>
            </w:r>
            <w:r>
              <w:rPr>
                <w:rFonts w:asciiTheme="minorEastAsia" w:hAnsiTheme="minorEastAsia" w:eastAsiaTheme="minorEastAsia"/>
                <w:color w:val="000000"/>
                <w:sz w:val="24"/>
              </w:rPr>
              <w:t>核工业江西工程勘察研究总院有限公司</w:t>
            </w:r>
            <w:r>
              <w:rPr>
                <w:rFonts w:hint="eastAsia" w:cs="宋体" w:asciiTheme="minorEastAsia" w:hAnsiTheme="minorEastAsia" w:eastAsiaTheme="minorEastAsia"/>
                <w:color w:val="000000"/>
                <w:sz w:val="24"/>
              </w:rPr>
              <w:t>编制的《</w:t>
            </w:r>
            <w:r>
              <w:rPr>
                <w:rFonts w:hint="eastAsia" w:cs="宋体" w:asciiTheme="minorEastAsia" w:hAnsiTheme="minorEastAsia" w:eastAsiaTheme="minorEastAsia"/>
                <w:sz w:val="24"/>
                <w:lang w:eastAsia="zh-CN"/>
              </w:rPr>
              <w:t>禄劝民发建材有限责任公司</w:t>
            </w:r>
            <w:r>
              <w:rPr>
                <w:rFonts w:hint="eastAsia" w:cs="宋体" w:asciiTheme="minorEastAsia" w:hAnsiTheme="minorEastAsia" w:eastAsiaTheme="minorEastAsia"/>
                <w:sz w:val="24"/>
              </w:rPr>
              <w:t>茂龙页岩砖厂矿区生态修复方案</w:t>
            </w:r>
            <w:r>
              <w:rPr>
                <w:rFonts w:hint="eastAsia" w:cs="宋体" w:asciiTheme="minorEastAsia" w:hAnsiTheme="minorEastAsia" w:eastAsiaTheme="minorEastAsia"/>
                <w:color w:val="000000"/>
                <w:sz w:val="24"/>
              </w:rPr>
              <w:t>》（以下简称“方案”）进行了评审，与会专家在会前审阅报告、会上听取了编制方和矿业权人的介绍，会上经充分讨论，会后经编制单位修改，参会专家复核后，形成以下专家组审查意见：</w:t>
            </w:r>
          </w:p>
          <w:p w14:paraId="68202D29">
            <w:pPr>
              <w:spacing w:line="360" w:lineRule="auto"/>
              <w:ind w:firstLine="482" w:firstLineChars="200"/>
              <w:jc w:val="left"/>
              <w:rPr>
                <w:rFonts w:hint="eastAsia"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一、矿山基本情况</w:t>
            </w:r>
          </w:p>
          <w:p w14:paraId="246D9C77">
            <w:pPr>
              <w:spacing w:line="360" w:lineRule="auto"/>
              <w:ind w:firstLine="480" w:firstLineChars="200"/>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禄劝县禄劝民发建材有限责任公司茂龙页岩砖厂（以下简称“茂龙页岩砖厂”）位于禄劝彝族苗族自治县57°方向，直线距离约为6.7km，地处禄劝彝族苗族自治县屏山街道茂龙村委会境内，地理坐标（2000国家大地坐标系）：东经</w:t>
            </w:r>
            <w:r>
              <w:rPr>
                <w:rFonts w:cs="宋体" w:asciiTheme="minorEastAsia" w:hAnsiTheme="minorEastAsia" w:eastAsiaTheme="minorEastAsia"/>
                <w:color w:val="000000"/>
                <w:sz w:val="24"/>
              </w:rPr>
              <w:t>102°31′07</w:t>
            </w:r>
            <w:r>
              <w:rPr>
                <w:rFonts w:hint="eastAsia" w:cs="宋体" w:asciiTheme="minorEastAsia" w:hAnsiTheme="minorEastAsia" w:eastAsiaTheme="minorEastAsia"/>
                <w:color w:val="000000"/>
                <w:sz w:val="24"/>
              </w:rPr>
              <w:t>.932</w:t>
            </w:r>
            <w:r>
              <w:rPr>
                <w:rFonts w:cs="宋体" w:asciiTheme="minorEastAsia" w:hAnsiTheme="minorEastAsia" w:eastAsiaTheme="minorEastAsia"/>
                <w:color w:val="000000"/>
                <w:sz w:val="24"/>
              </w:rPr>
              <w:t>″～102°31′12</w:t>
            </w:r>
            <w:r>
              <w:rPr>
                <w:rFonts w:hint="eastAsia" w:cs="宋体" w:asciiTheme="minorEastAsia" w:hAnsiTheme="minorEastAsia" w:eastAsiaTheme="minorEastAsia"/>
                <w:color w:val="000000"/>
                <w:sz w:val="24"/>
              </w:rPr>
              <w:t>.932</w:t>
            </w:r>
            <w:r>
              <w:rPr>
                <w:rFonts w:cs="宋体" w:asciiTheme="minorEastAsia" w:hAnsiTheme="minorEastAsia" w:eastAsiaTheme="minorEastAsia"/>
                <w:color w:val="000000"/>
                <w:sz w:val="24"/>
              </w:rPr>
              <w:t>″</w:t>
            </w:r>
            <w:r>
              <w:rPr>
                <w:rFonts w:hint="eastAsia" w:cs="宋体" w:asciiTheme="minorEastAsia" w:hAnsiTheme="minorEastAsia" w:eastAsiaTheme="minorEastAsia"/>
                <w:color w:val="000000"/>
                <w:sz w:val="24"/>
              </w:rPr>
              <w:t>，北纬</w:t>
            </w:r>
            <w:r>
              <w:rPr>
                <w:rFonts w:cs="宋体" w:asciiTheme="minorEastAsia" w:hAnsiTheme="minorEastAsia" w:eastAsiaTheme="minorEastAsia"/>
                <w:color w:val="000000"/>
                <w:sz w:val="24"/>
              </w:rPr>
              <w:t>25°35′2</w:t>
            </w:r>
            <w:r>
              <w:rPr>
                <w:rFonts w:hint="eastAsia" w:cs="宋体" w:asciiTheme="minorEastAsia" w:hAnsiTheme="minorEastAsia" w:eastAsiaTheme="minorEastAsia"/>
                <w:color w:val="000000"/>
                <w:sz w:val="24"/>
              </w:rPr>
              <w:t>4.914</w:t>
            </w:r>
            <w:r>
              <w:rPr>
                <w:rFonts w:cs="宋体" w:asciiTheme="minorEastAsia" w:hAnsiTheme="minorEastAsia" w:eastAsiaTheme="minorEastAsia"/>
                <w:color w:val="000000"/>
                <w:sz w:val="24"/>
              </w:rPr>
              <w:t>″～25°35′3</w:t>
            </w:r>
            <w:r>
              <w:rPr>
                <w:rFonts w:hint="eastAsia" w:cs="宋体" w:asciiTheme="minorEastAsia" w:hAnsiTheme="minorEastAsia" w:eastAsiaTheme="minorEastAsia"/>
                <w:color w:val="000000"/>
                <w:sz w:val="24"/>
              </w:rPr>
              <w:t>1.914</w:t>
            </w:r>
            <w:r>
              <w:rPr>
                <w:rFonts w:cs="宋体" w:asciiTheme="minorEastAsia" w:hAnsiTheme="minorEastAsia" w:eastAsiaTheme="minorEastAsia"/>
                <w:color w:val="000000"/>
                <w:sz w:val="24"/>
              </w:rPr>
              <w:t>″</w:t>
            </w:r>
            <w:r>
              <w:rPr>
                <w:rFonts w:hint="eastAsia" w:cs="宋体" w:asciiTheme="minorEastAsia" w:hAnsiTheme="minorEastAsia" w:eastAsiaTheme="minorEastAsia"/>
                <w:color w:val="000000"/>
                <w:sz w:val="24"/>
              </w:rPr>
              <w:t>；现采矿证许可号C5301282011027130106455，</w:t>
            </w:r>
            <w:r>
              <w:rPr>
                <w:rFonts w:cs="宋体" w:asciiTheme="minorEastAsia" w:hAnsiTheme="minorEastAsia" w:eastAsiaTheme="minorEastAsia"/>
                <w:color w:val="000000"/>
                <w:sz w:val="24"/>
              </w:rPr>
              <w:t>矿区面积0.</w:t>
            </w:r>
            <w:r>
              <w:rPr>
                <w:rFonts w:hint="eastAsia" w:cs="宋体" w:asciiTheme="minorEastAsia" w:hAnsiTheme="minorEastAsia" w:eastAsiaTheme="minorEastAsia"/>
                <w:color w:val="000000"/>
                <w:sz w:val="24"/>
              </w:rPr>
              <w:t>0176平方公里；</w:t>
            </w:r>
            <w:r>
              <w:rPr>
                <w:rFonts w:cs="宋体" w:asciiTheme="minorEastAsia" w:hAnsiTheme="minorEastAsia" w:eastAsiaTheme="minorEastAsia"/>
                <w:color w:val="000000"/>
                <w:sz w:val="24"/>
              </w:rPr>
              <w:t>开采深度</w:t>
            </w:r>
            <w:r>
              <w:rPr>
                <w:rFonts w:hint="eastAsia" w:cs="宋体" w:asciiTheme="minorEastAsia" w:hAnsiTheme="minorEastAsia" w:eastAsiaTheme="minorEastAsia"/>
                <w:color w:val="000000"/>
                <w:sz w:val="24"/>
              </w:rPr>
              <w:t>2070</w:t>
            </w:r>
            <w:r>
              <w:rPr>
                <w:rFonts w:cs="宋体" w:asciiTheme="minorEastAsia" w:hAnsiTheme="minorEastAsia" w:eastAsiaTheme="minorEastAsia"/>
                <w:color w:val="000000"/>
                <w:sz w:val="24"/>
              </w:rPr>
              <w:t>m至20</w:t>
            </w:r>
            <w:r>
              <w:rPr>
                <w:rFonts w:hint="eastAsia" w:cs="宋体" w:asciiTheme="minorEastAsia" w:hAnsiTheme="minorEastAsia" w:eastAsiaTheme="minorEastAsia"/>
                <w:color w:val="000000"/>
                <w:sz w:val="24"/>
              </w:rPr>
              <w:t>2</w:t>
            </w:r>
            <w:r>
              <w:rPr>
                <w:rFonts w:cs="宋体" w:asciiTheme="minorEastAsia" w:hAnsiTheme="minorEastAsia" w:eastAsiaTheme="minorEastAsia"/>
                <w:color w:val="000000"/>
                <w:sz w:val="24"/>
              </w:rPr>
              <w:t>0m，</w:t>
            </w:r>
            <w:r>
              <w:rPr>
                <w:rFonts w:hint="eastAsia" w:cs="宋体" w:asciiTheme="minorEastAsia" w:hAnsiTheme="minorEastAsia" w:eastAsiaTheme="minorEastAsia"/>
                <w:color w:val="000000"/>
                <w:sz w:val="24"/>
              </w:rPr>
              <w:t>开采矿种砖瓦用页岩，开采方式：露天开采，生产规模：3.24万t/年，属小型矿山，</w:t>
            </w:r>
            <w:r>
              <w:rPr>
                <w:rFonts w:hint="eastAsia" w:asciiTheme="minorEastAsia" w:hAnsiTheme="minorEastAsia" w:eastAsiaTheme="minorEastAsia"/>
                <w:sz w:val="24"/>
              </w:rPr>
              <w:t>有效期限2016年6月12日至2021年6月12日。</w:t>
            </w:r>
          </w:p>
          <w:p w14:paraId="0551A146">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为指导矿山对项目区开展生态修复工作，编制《</w:t>
            </w:r>
            <w:r>
              <w:rPr>
                <w:rFonts w:hint="eastAsia" w:cs="宋体" w:asciiTheme="minorEastAsia" w:hAnsiTheme="minorEastAsia" w:eastAsiaTheme="minorEastAsia"/>
                <w:sz w:val="24"/>
                <w:lang w:eastAsia="zh-CN"/>
              </w:rPr>
              <w:t>禄劝民发建材有限责任公司</w:t>
            </w:r>
            <w:r>
              <w:rPr>
                <w:rFonts w:hint="eastAsia" w:cs="宋体" w:asciiTheme="minorEastAsia" w:hAnsiTheme="minorEastAsia" w:eastAsiaTheme="minorEastAsia"/>
                <w:sz w:val="24"/>
              </w:rPr>
              <w:t>茂龙页岩砖厂矿区生态修复方案</w:t>
            </w:r>
            <w:r>
              <w:rPr>
                <w:rFonts w:hint="eastAsia" w:cs="宋体" w:asciiTheme="minorEastAsia" w:hAnsiTheme="minorEastAsia" w:eastAsiaTheme="minorEastAsia"/>
                <w:color w:val="000000"/>
                <w:sz w:val="24"/>
              </w:rPr>
              <w:t>》。</w:t>
            </w:r>
          </w:p>
          <w:p w14:paraId="6EA4B1AB">
            <w:pPr>
              <w:spacing w:line="360" w:lineRule="auto"/>
              <w:ind w:firstLine="482" w:firstLineChars="200"/>
              <w:jc w:val="left"/>
              <w:rPr>
                <w:rFonts w:hint="eastAsia"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二、问题识别诊断及修复可行性分析</w:t>
            </w:r>
          </w:p>
          <w:p w14:paraId="7D600121">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（一）矿区地质环境问题识别诊断</w:t>
            </w:r>
          </w:p>
          <w:p w14:paraId="7EFBE691">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现状问题分析指出，矿区及周边现状发育潜在不稳定边坡2处，现状其危害、危险性中等，对矿山地质环境影响程度为中度；既有矿业活动对地形地貌景观影响和破坏程度为重度、对含水层的影响和破坏程度为轻度。现状问题分析较客观，反映了现状特征。</w:t>
            </w:r>
          </w:p>
          <w:p w14:paraId="1B6D60D1">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受损预测分析认为，预测矿业活动加剧现状地质灾害的可能性中等-大，危害及危险性中等。预测矿山开采及运营期间，采矿活动诱发、遭受滑坡、崩塌、泥石流等地质灾害的可能性小～中等，危害性小～中等，危险性小～中等；预测矿山开采对地表水资源影响及周边村庄的生产和生活用水影响较轻；预测未来矿业活动</w:t>
            </w:r>
            <w:r>
              <w:rPr>
                <w:rFonts w:cs="宋体" w:asciiTheme="minorEastAsia" w:hAnsiTheme="minorEastAsia" w:eastAsiaTheme="minorEastAsia"/>
                <w:color w:val="000000"/>
                <w:sz w:val="24"/>
              </w:rPr>
              <w:t>对区内原生地形地貌景观影响和破坏程度较</w:t>
            </w:r>
            <w:r>
              <w:rPr>
                <w:rFonts w:hint="eastAsia" w:cs="宋体" w:asciiTheme="minorEastAsia" w:hAnsiTheme="minorEastAsia" w:eastAsiaTheme="minorEastAsia"/>
                <w:color w:val="000000"/>
                <w:sz w:val="24"/>
              </w:rPr>
              <w:t>轻</w:t>
            </w:r>
            <w:r>
              <w:rPr>
                <w:rFonts w:cs="宋体" w:asciiTheme="minorEastAsia" w:hAnsiTheme="minorEastAsia" w:eastAsiaTheme="minorEastAsia"/>
                <w:color w:val="000000"/>
                <w:sz w:val="24"/>
              </w:rPr>
              <w:t>。</w:t>
            </w:r>
            <w:r>
              <w:rPr>
                <w:rFonts w:hint="eastAsia" w:cs="宋体" w:asciiTheme="minorEastAsia" w:hAnsiTheme="minorEastAsia" w:eastAsiaTheme="minorEastAsia"/>
                <w:color w:val="000000"/>
                <w:sz w:val="24"/>
              </w:rPr>
              <w:t>预测评估基本可信。</w:t>
            </w:r>
          </w:p>
          <w:p w14:paraId="6D1CAFC9">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（二）矿区土地损毁问题识别诊断</w:t>
            </w:r>
          </w:p>
          <w:p w14:paraId="6BB35DE6">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本矿山开采损毁土地3.6496公顷，其中已损毁土地总面积为3.4599公顷</w:t>
            </w:r>
            <w:r>
              <w:rPr>
                <w:rFonts w:cs="宋体" w:asciiTheme="minorEastAsia" w:hAnsiTheme="minorEastAsia" w:eastAsiaTheme="minorEastAsia"/>
                <w:color w:val="000000"/>
                <w:sz w:val="24"/>
              </w:rPr>
              <w:t>，损毁土地的方式为挖损、压占损毁</w:t>
            </w:r>
            <w:r>
              <w:rPr>
                <w:rFonts w:hint="eastAsia" w:cs="宋体" w:asciiTheme="minorEastAsia" w:hAnsiTheme="minorEastAsia" w:eastAsiaTheme="minorEastAsia"/>
                <w:color w:val="000000"/>
                <w:sz w:val="24"/>
              </w:rPr>
              <w:t>；损毁土地类型为乔木林地0.2055公顷，采矿用地2.9788公顷，农村宅基地0.1267公顷，农村道路0.1489公顷，</w:t>
            </w:r>
            <w:r>
              <w:rPr>
                <w:rFonts w:cs="宋体" w:asciiTheme="minorEastAsia" w:hAnsiTheme="minorEastAsia" w:eastAsiaTheme="minorEastAsia"/>
                <w:color w:val="000000"/>
                <w:sz w:val="24"/>
              </w:rPr>
              <w:t>损毁程度综合评估等级为中度-重度</w:t>
            </w:r>
            <w:r>
              <w:rPr>
                <w:rFonts w:hint="eastAsia" w:cs="宋体" w:asciiTheme="minorEastAsia" w:hAnsiTheme="minorEastAsia" w:eastAsiaTheme="minorEastAsia"/>
                <w:color w:val="000000"/>
                <w:sz w:val="24"/>
              </w:rPr>
              <w:t>；拟损毁土地总面积为0.0632公顷</w:t>
            </w:r>
            <w:r>
              <w:rPr>
                <w:rFonts w:cs="宋体" w:asciiTheme="minorEastAsia" w:hAnsiTheme="minorEastAsia" w:eastAsiaTheme="minorEastAsia"/>
                <w:color w:val="000000"/>
                <w:sz w:val="24"/>
              </w:rPr>
              <w:t>，损毁地类</w:t>
            </w:r>
            <w:r>
              <w:rPr>
                <w:rFonts w:hint="eastAsia" w:cs="宋体" w:asciiTheme="minorEastAsia" w:hAnsiTheme="minorEastAsia" w:eastAsiaTheme="minorEastAsia"/>
                <w:color w:val="000000"/>
                <w:sz w:val="24"/>
              </w:rPr>
              <w:t>为乔木林地0.0099公顷，采矿用地0.0368公顷，农村道路</w:t>
            </w:r>
            <w:r>
              <w:rPr>
                <w:rFonts w:cs="宋体" w:asciiTheme="minorEastAsia" w:hAnsiTheme="minorEastAsia" w:eastAsiaTheme="minorEastAsia"/>
                <w:color w:val="000000"/>
                <w:sz w:val="24"/>
              </w:rPr>
              <w:t>0.0</w:t>
            </w:r>
            <w:r>
              <w:rPr>
                <w:rFonts w:hint="eastAsia" w:cs="宋体" w:asciiTheme="minorEastAsia" w:hAnsiTheme="minorEastAsia" w:eastAsiaTheme="minorEastAsia"/>
                <w:color w:val="000000"/>
                <w:sz w:val="24"/>
              </w:rPr>
              <w:t>259公顷，裸土地</w:t>
            </w:r>
            <w:r>
              <w:rPr>
                <w:rFonts w:cs="宋体" w:asciiTheme="minorEastAsia" w:hAnsiTheme="minorEastAsia" w:eastAsiaTheme="minorEastAsia"/>
                <w:color w:val="000000"/>
                <w:sz w:val="24"/>
              </w:rPr>
              <w:t>0.0</w:t>
            </w:r>
            <w:r>
              <w:rPr>
                <w:rFonts w:hint="eastAsia" w:cs="宋体" w:asciiTheme="minorEastAsia" w:hAnsiTheme="minorEastAsia" w:eastAsiaTheme="minorEastAsia"/>
                <w:color w:val="000000"/>
                <w:sz w:val="24"/>
              </w:rPr>
              <w:t>006公顷，</w:t>
            </w:r>
            <w:r>
              <w:rPr>
                <w:rFonts w:cs="宋体" w:asciiTheme="minorEastAsia" w:hAnsiTheme="minorEastAsia" w:eastAsiaTheme="minorEastAsia"/>
                <w:color w:val="000000"/>
                <w:sz w:val="24"/>
              </w:rPr>
              <w:t>损毁土地的方式为挖损，损毁程度为重度</w:t>
            </w:r>
            <w:r>
              <w:rPr>
                <w:rFonts w:hint="eastAsia" w:cs="宋体" w:asciiTheme="minorEastAsia" w:hAnsiTheme="minorEastAsia" w:eastAsiaTheme="minorEastAsia"/>
                <w:color w:val="000000"/>
                <w:sz w:val="24"/>
              </w:rPr>
              <w:t>。</w:t>
            </w:r>
          </w:p>
          <w:p w14:paraId="32FCC368">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（三）矿区生态环境问题识别诊断</w:t>
            </w:r>
          </w:p>
          <w:p w14:paraId="0A448B23">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该矿开采方式为露天开采。根据现场调查与资料分析，矿区地处普渡河流域农田整治与城镇空间环境协同修复区。主要生态环境问题为：</w:t>
            </w:r>
            <w:r>
              <w:rPr>
                <w:rFonts w:cs="宋体" w:asciiTheme="minorEastAsia" w:hAnsiTheme="minorEastAsia" w:eastAsiaTheme="minorEastAsia"/>
                <w:color w:val="000000"/>
                <w:sz w:val="24"/>
              </w:rPr>
              <w:t>生态破坏核心集中于人工扰动区，表现为地质环境扰动、土地功能丧失、生物多样性下降及生态服务功能弱化的复合型受损，未扰动区域（主要为森林生态系统）保持相对稳定</w:t>
            </w:r>
            <w:r>
              <w:rPr>
                <w:rFonts w:hint="eastAsia" w:cs="宋体" w:asciiTheme="minorEastAsia" w:hAnsiTheme="minorEastAsia" w:eastAsiaTheme="minorEastAsia"/>
                <w:color w:val="000000"/>
                <w:sz w:val="24"/>
              </w:rPr>
              <w:t>；矿区</w:t>
            </w:r>
            <w:r>
              <w:rPr>
                <w:rFonts w:asciiTheme="minorEastAsia" w:hAnsiTheme="minorEastAsia" w:eastAsiaTheme="minorEastAsia"/>
                <w:sz w:val="24"/>
              </w:rPr>
              <w:t>地</w:t>
            </w:r>
            <w:r>
              <w:rPr>
                <w:rFonts w:cs="宋体" w:asciiTheme="minorEastAsia" w:hAnsiTheme="minorEastAsia" w:eastAsiaTheme="minorEastAsia"/>
                <w:color w:val="000000"/>
                <w:sz w:val="24"/>
              </w:rPr>
              <w:t>表采空区土壤剖面完全破坏，</w:t>
            </w:r>
            <w:r>
              <w:rPr>
                <w:rFonts w:hint="eastAsia" w:cs="宋体" w:asciiTheme="minorEastAsia" w:hAnsiTheme="minorEastAsia" w:eastAsiaTheme="minorEastAsia"/>
                <w:color w:val="000000"/>
                <w:sz w:val="24"/>
              </w:rPr>
              <w:t>已有建筑物</w:t>
            </w:r>
            <w:r>
              <w:rPr>
                <w:rFonts w:cs="宋体" w:asciiTheme="minorEastAsia" w:hAnsiTheme="minorEastAsia" w:eastAsiaTheme="minorEastAsia"/>
                <w:color w:val="000000"/>
                <w:sz w:val="24"/>
              </w:rPr>
              <w:t>压占导致土壤压实严重，拟</w:t>
            </w:r>
            <w:r>
              <w:rPr>
                <w:rFonts w:hint="eastAsia" w:cs="宋体" w:asciiTheme="minorEastAsia" w:hAnsiTheme="minorEastAsia" w:eastAsiaTheme="minorEastAsia"/>
                <w:color w:val="000000"/>
                <w:sz w:val="24"/>
              </w:rPr>
              <w:t>外迁设施</w:t>
            </w:r>
            <w:r>
              <w:rPr>
                <w:rFonts w:cs="宋体" w:asciiTheme="minorEastAsia" w:hAnsiTheme="minorEastAsia" w:eastAsiaTheme="minorEastAsia"/>
                <w:color w:val="000000"/>
                <w:sz w:val="24"/>
              </w:rPr>
              <w:t>与历史损毁区部分重叠，可能形成复合型破坏。</w:t>
            </w:r>
            <w:r>
              <w:rPr>
                <w:rFonts w:hint="eastAsia" w:cs="宋体" w:asciiTheme="minorEastAsia" w:hAnsiTheme="minorEastAsia" w:eastAsiaTheme="minorEastAsia"/>
                <w:color w:val="000000"/>
                <w:sz w:val="24"/>
              </w:rPr>
              <w:t>人工扰动区缺乏廊道适配植被，生物多样性恢复基础薄弱，生态系统稳定性差。矿区生态系统呈现以林地、灌丛、草地复合生态系统为主，其他生态系统零星分布的格局。</w:t>
            </w:r>
          </w:p>
          <w:p w14:paraId="0D0BDA55">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（四）修复可行性分析</w:t>
            </w:r>
          </w:p>
          <w:p w14:paraId="2242BB0C">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原则同意本方案制定的修复目标和任务，矿区生态修复可行性分析过程和结果基本可信。修复责任范围面积3.6496公顷，农村宅基地占用0.1267公顷，实际修复面积为3.5299公顷，</w:t>
            </w:r>
            <w:r>
              <w:rPr>
                <w:rFonts w:cs="宋体" w:asciiTheme="minorEastAsia" w:hAnsiTheme="minorEastAsia" w:eastAsiaTheme="minorEastAsia"/>
                <w:color w:val="000000"/>
                <w:sz w:val="24"/>
              </w:rPr>
              <w:t>其中</w:t>
            </w:r>
            <w:r>
              <w:rPr>
                <w:rFonts w:hint="eastAsia" w:cs="宋体" w:asciiTheme="minorEastAsia" w:hAnsiTheme="minorEastAsia" w:eastAsiaTheme="minorEastAsia"/>
                <w:color w:val="000000"/>
                <w:sz w:val="24"/>
              </w:rPr>
              <w:t>修复</w:t>
            </w:r>
            <w:r>
              <w:rPr>
                <w:rFonts w:cs="宋体" w:asciiTheme="minorEastAsia" w:hAnsiTheme="minorEastAsia" w:eastAsiaTheme="minorEastAsia"/>
                <w:color w:val="000000"/>
                <w:sz w:val="24"/>
              </w:rPr>
              <w:t>为</w:t>
            </w:r>
            <w:r>
              <w:rPr>
                <w:rFonts w:hint="eastAsia" w:cs="宋体" w:asciiTheme="minorEastAsia" w:hAnsiTheme="minorEastAsia" w:eastAsiaTheme="minorEastAsia"/>
                <w:color w:val="000000"/>
                <w:sz w:val="24"/>
              </w:rPr>
              <w:t>乔木</w:t>
            </w:r>
            <w:r>
              <w:rPr>
                <w:rFonts w:cs="宋体" w:asciiTheme="minorEastAsia" w:hAnsiTheme="minorEastAsia" w:eastAsiaTheme="minorEastAsia"/>
                <w:color w:val="000000"/>
                <w:sz w:val="24"/>
              </w:rPr>
              <w:t>林地</w:t>
            </w:r>
            <w:r>
              <w:rPr>
                <w:rFonts w:hint="eastAsia" w:cs="宋体" w:asciiTheme="minorEastAsia" w:hAnsiTheme="minorEastAsia" w:eastAsiaTheme="minorEastAsia"/>
                <w:color w:val="000000"/>
                <w:sz w:val="24"/>
              </w:rPr>
              <w:t>2.1886公顷、修复</w:t>
            </w:r>
            <w:r>
              <w:rPr>
                <w:rFonts w:cs="宋体" w:asciiTheme="minorEastAsia" w:hAnsiTheme="minorEastAsia" w:eastAsiaTheme="minorEastAsia"/>
                <w:color w:val="000000"/>
                <w:sz w:val="24"/>
              </w:rPr>
              <w:t>为</w:t>
            </w:r>
            <w:r>
              <w:rPr>
                <w:rFonts w:hint="eastAsia" w:cs="宋体" w:asciiTheme="minorEastAsia" w:hAnsiTheme="minorEastAsia" w:eastAsiaTheme="minorEastAsia"/>
                <w:color w:val="000000"/>
                <w:sz w:val="24"/>
              </w:rPr>
              <w:t>其他草地1.0831公顷</w:t>
            </w:r>
            <w:r>
              <w:rPr>
                <w:rFonts w:cs="宋体" w:asciiTheme="minorEastAsia" w:hAnsiTheme="minorEastAsia" w:eastAsiaTheme="minorEastAsia"/>
                <w:color w:val="000000"/>
                <w:sz w:val="24"/>
              </w:rPr>
              <w:t>，</w:t>
            </w:r>
            <w:r>
              <w:rPr>
                <w:rFonts w:hint="eastAsia" w:cs="宋体" w:asciiTheme="minorEastAsia" w:hAnsiTheme="minorEastAsia" w:eastAsiaTheme="minorEastAsia"/>
                <w:color w:val="000000"/>
                <w:sz w:val="24"/>
              </w:rPr>
              <w:t>修复为农村道路0.1217公顷，修复为沟渠0.1295公顷，</w:t>
            </w:r>
            <w:r>
              <w:rPr>
                <w:rFonts w:cs="宋体" w:asciiTheme="minorEastAsia" w:hAnsiTheme="minorEastAsia" w:eastAsiaTheme="minorEastAsia"/>
                <w:color w:val="000000"/>
                <w:sz w:val="24"/>
              </w:rPr>
              <w:t>复垦修复率为9</w:t>
            </w:r>
            <w:r>
              <w:rPr>
                <w:rFonts w:hint="eastAsia" w:cs="宋体" w:asciiTheme="minorEastAsia" w:hAnsiTheme="minorEastAsia" w:eastAsiaTheme="minorEastAsia"/>
                <w:color w:val="000000"/>
                <w:sz w:val="24"/>
              </w:rPr>
              <w:t>6.53</w:t>
            </w:r>
            <w:r>
              <w:rPr>
                <w:rFonts w:cs="宋体" w:asciiTheme="minorEastAsia" w:hAnsiTheme="minorEastAsia" w:eastAsiaTheme="minorEastAsia"/>
                <w:color w:val="000000"/>
                <w:sz w:val="24"/>
              </w:rPr>
              <w:t>%。</w:t>
            </w:r>
          </w:p>
          <w:p w14:paraId="6FD035F1">
            <w:pPr>
              <w:spacing w:line="360" w:lineRule="auto"/>
              <w:ind w:firstLine="482" w:firstLineChars="200"/>
              <w:jc w:val="left"/>
              <w:rPr>
                <w:rFonts w:hint="eastAsia"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三、生态修复措施与工程内容</w:t>
            </w:r>
          </w:p>
          <w:p w14:paraId="3EDD65A9">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原则同意本方案提出的保护与预防控制措施和修复措施：</w:t>
            </w:r>
          </w:p>
          <w:p w14:paraId="06732603">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（一）保护与预防控制措施：1）</w:t>
            </w:r>
            <w:r>
              <w:rPr>
                <w:rFonts w:hint="eastAsia" w:asciiTheme="minorEastAsia" w:hAnsiTheme="minorEastAsia" w:eastAsiaTheme="minorEastAsia"/>
                <w:sz w:val="24"/>
              </w:rPr>
              <w:t>对矿山及周边的耕地、永久基本农田、基本草原、公益林、自然保护区、生态保护红线、珍贵物种、人文景观、文物、重要基础设施等敏感目标，需从保护和预防两方面入手，采取科学合理的措施，确保其在矿区生态修复过程中不受破坏或得到有效保护。</w:t>
            </w:r>
            <w:r>
              <w:rPr>
                <w:rFonts w:hint="eastAsia" w:cs="宋体" w:asciiTheme="minorEastAsia" w:hAnsiTheme="minorEastAsia" w:eastAsiaTheme="minorEastAsia"/>
                <w:color w:val="000000"/>
                <w:sz w:val="24"/>
              </w:rPr>
              <w:t>2）生产建设活动中做好土壤和植被的保护措施，</w:t>
            </w:r>
            <w:r>
              <w:rPr>
                <w:rFonts w:hint="eastAsia" w:asciiTheme="minorEastAsia" w:hAnsiTheme="minorEastAsia" w:eastAsiaTheme="minorEastAsia"/>
                <w:sz w:val="24"/>
              </w:rPr>
              <w:t>各新增受损区块施工前进行表土剥离和表土堆存保管，以保证复垦时土壤需求</w:t>
            </w:r>
            <w:r>
              <w:rPr>
                <w:rFonts w:hint="eastAsia" w:cs="宋体" w:asciiTheme="minorEastAsia" w:hAnsiTheme="minorEastAsia" w:eastAsiaTheme="minorEastAsia"/>
                <w:color w:val="000000"/>
                <w:sz w:val="24"/>
              </w:rPr>
              <w:t>。3）在地表工程设施区域做好截排水及边坡防护措施等，防止水土污染及流失；4）</w:t>
            </w:r>
            <w:r>
              <w:rPr>
                <w:rFonts w:cs="宋体" w:asciiTheme="minorEastAsia" w:hAnsiTheme="minorEastAsia" w:eastAsiaTheme="minorEastAsia"/>
                <w:color w:val="000000"/>
                <w:sz w:val="24"/>
              </w:rPr>
              <w:t>同时配套地质灾害、水土流失、</w:t>
            </w:r>
            <w:r>
              <w:rPr>
                <w:rFonts w:hint="eastAsia" w:cs="宋体" w:asciiTheme="minorEastAsia" w:hAnsiTheme="minorEastAsia" w:eastAsiaTheme="minorEastAsia"/>
                <w:color w:val="000000"/>
                <w:sz w:val="24"/>
              </w:rPr>
              <w:t>环境污染防治及固体废物综合利用等协同措施；5）结合开采进度，严格按照开采设计进行开采，减少露天开采等对区内地表土地、植被造成影响，改善和保护项目区域内的生态环境。</w:t>
            </w:r>
          </w:p>
          <w:p w14:paraId="2D25DC62">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二）修复措施：1）地形地貌重塑：潜在不稳定边坡区域进行危岩清理和露天采场周边设置拦挡措施及警示措施，各场地停止使用后，清除建（构）筑垃圾，整理平整；2）土壤重构：覆土回填，土壤翻耕，土壤培肥；土壤改良采用播撒有机肥，对修复后的土层进行改良，提高土体有机质含量；3）植被重建：对林地进行适时管理，包括苗木补种、防治病虫害、幼树保护等；4）实施地质环境、土地资源、生态系统监测；5）对生态修复区域进行科学管护。</w:t>
            </w:r>
          </w:p>
          <w:p w14:paraId="0F116BD9">
            <w:pPr>
              <w:spacing w:line="360" w:lineRule="auto"/>
              <w:ind w:firstLine="482" w:firstLineChars="200"/>
              <w:jc w:val="left"/>
              <w:rPr>
                <w:rFonts w:hint="eastAsia"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四、工程部署与经费估算</w:t>
            </w:r>
          </w:p>
          <w:p w14:paraId="40C7FA97">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（一）工作部署</w:t>
            </w:r>
          </w:p>
          <w:p w14:paraId="2EDA416F">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原则统一“方案”将矿山生态修复划分为三个阶段：</w:t>
            </w:r>
          </w:p>
          <w:p w14:paraId="49D7D135">
            <w:pPr>
              <w:spacing w:line="360" w:lineRule="auto"/>
              <w:ind w:firstLine="480" w:firstLineChars="200"/>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第一阶段</w:t>
            </w:r>
            <w:r>
              <w:rPr>
                <w:rFonts w:hint="eastAsia" w:cs="宋体" w:asciiTheme="minorEastAsia" w:hAnsiTheme="minorEastAsia" w:eastAsiaTheme="minorEastAsia"/>
                <w:color w:val="000000"/>
                <w:sz w:val="24"/>
              </w:rPr>
              <w:t>（生产期：第1～4年），消除界外采场及露天采潜在不稳定边坡风险，完成界外采场土壤重构与植被重建，对已修复区进行管护监测，</w:t>
            </w:r>
            <w:r>
              <w:rPr>
                <w:rFonts w:cs="宋体" w:asciiTheme="minorEastAsia" w:hAnsiTheme="minorEastAsia" w:eastAsiaTheme="minorEastAsia"/>
                <w:color w:val="000000"/>
                <w:sz w:val="24"/>
              </w:rPr>
              <w:t>同步做好植被养护与临时排水。</w:t>
            </w:r>
          </w:p>
          <w:p w14:paraId="3D7A3A46">
            <w:pPr>
              <w:spacing w:line="360" w:lineRule="auto"/>
              <w:ind w:firstLine="480" w:firstLineChars="200"/>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第</w:t>
            </w:r>
            <w:r>
              <w:rPr>
                <w:rFonts w:hint="eastAsia" w:cs="宋体" w:asciiTheme="minorEastAsia" w:hAnsiTheme="minorEastAsia" w:eastAsiaTheme="minorEastAsia"/>
                <w:color w:val="000000"/>
                <w:sz w:val="24"/>
              </w:rPr>
              <w:t>二</w:t>
            </w:r>
            <w:r>
              <w:rPr>
                <w:rFonts w:cs="宋体" w:asciiTheme="minorEastAsia" w:hAnsiTheme="minorEastAsia" w:eastAsiaTheme="minorEastAsia"/>
                <w:color w:val="000000"/>
                <w:sz w:val="24"/>
              </w:rPr>
              <w:t>阶段</w:t>
            </w:r>
            <w:r>
              <w:rPr>
                <w:rFonts w:hint="eastAsia" w:cs="宋体" w:asciiTheme="minorEastAsia" w:hAnsiTheme="minorEastAsia" w:eastAsiaTheme="minorEastAsia"/>
                <w:color w:val="000000"/>
                <w:sz w:val="24"/>
              </w:rPr>
              <w:t>（修复工程实施期：第5年），该阶段为全面修复期，露天采场及设施场地全范围进行全面修复，同时对矿区及影响区进行实时监测、管护。</w:t>
            </w:r>
          </w:p>
          <w:p w14:paraId="567DD4AC">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第三阶段(管护期：第6年～第8年）该阶段为管护期，对露天采场进行监测，对防护、排水设施进行管护。</w:t>
            </w:r>
          </w:p>
          <w:p w14:paraId="4E373034">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（二）经费估算</w:t>
            </w:r>
          </w:p>
          <w:p w14:paraId="40491CB2">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原则同意矿区生态修复费用估算结果及阶段工作任务与经费安排。本方案修复</w:t>
            </w:r>
            <w:bookmarkStart w:id="5" w:name="_GoBack"/>
            <w:r>
              <w:rPr>
                <w:rFonts w:hint="eastAsia" w:cs="宋体" w:asciiTheme="minorEastAsia" w:hAnsiTheme="minorEastAsia" w:eastAsiaTheme="minorEastAsia"/>
                <w:color w:val="000000"/>
                <w:sz w:val="24"/>
              </w:rPr>
              <w:t>静</w:t>
            </w:r>
            <w:bookmarkEnd w:id="5"/>
            <w:r>
              <w:rPr>
                <w:rFonts w:hint="eastAsia" w:cs="宋体" w:asciiTheme="minorEastAsia" w:hAnsiTheme="minorEastAsia" w:eastAsiaTheme="minorEastAsia"/>
                <w:color w:val="000000"/>
                <w:sz w:val="24"/>
              </w:rPr>
              <w:t>总投资101.11</w:t>
            </w:r>
            <w:r>
              <w:rPr>
                <w:rFonts w:cs="宋体" w:asciiTheme="minorEastAsia" w:hAnsiTheme="minorEastAsia" w:eastAsiaTheme="minorEastAsia"/>
                <w:color w:val="000000"/>
                <w:sz w:val="24"/>
              </w:rPr>
              <w:t>万元，静态亩均投资</w:t>
            </w:r>
            <w:r>
              <w:rPr>
                <w:rFonts w:hint="eastAsia" w:cs="宋体" w:asciiTheme="minorEastAsia" w:hAnsiTheme="minorEastAsia" w:eastAsiaTheme="minorEastAsia"/>
                <w:color w:val="000000"/>
                <w:sz w:val="24"/>
              </w:rPr>
              <w:t>19134</w:t>
            </w:r>
            <w:r>
              <w:rPr>
                <w:rFonts w:cs="宋体" w:asciiTheme="minorEastAsia" w:hAnsiTheme="minorEastAsia" w:eastAsiaTheme="minorEastAsia"/>
                <w:color w:val="000000"/>
                <w:sz w:val="24"/>
              </w:rPr>
              <w:t>元/亩；修复动态总</w:t>
            </w:r>
            <w:r>
              <w:rPr>
                <w:rFonts w:hint="eastAsia" w:cs="宋体" w:asciiTheme="minorEastAsia" w:hAnsiTheme="minorEastAsia" w:eastAsiaTheme="minorEastAsia"/>
                <w:color w:val="000000"/>
                <w:sz w:val="24"/>
              </w:rPr>
              <w:t>投资121.87</w:t>
            </w:r>
            <w:r>
              <w:rPr>
                <w:rFonts w:cs="宋体" w:asciiTheme="minorEastAsia" w:hAnsiTheme="minorEastAsia" w:eastAsiaTheme="minorEastAsia"/>
                <w:color w:val="000000"/>
                <w:sz w:val="24"/>
              </w:rPr>
              <w:t>万元，动态亩均投资</w:t>
            </w:r>
            <w:r>
              <w:rPr>
                <w:rFonts w:hint="eastAsia" w:cs="宋体" w:asciiTheme="minorEastAsia" w:hAnsiTheme="minorEastAsia" w:eastAsiaTheme="minorEastAsia"/>
                <w:color w:val="000000"/>
                <w:sz w:val="24"/>
              </w:rPr>
              <w:t>23062</w:t>
            </w:r>
            <w:r>
              <w:rPr>
                <w:rFonts w:cs="宋体" w:asciiTheme="minorEastAsia" w:hAnsiTheme="minorEastAsia" w:eastAsiaTheme="minorEastAsia"/>
                <w:color w:val="000000"/>
                <w:sz w:val="24"/>
              </w:rPr>
              <w:t>元/亩；全部投资由</w:t>
            </w:r>
            <w:r>
              <w:rPr>
                <w:rFonts w:hint="eastAsia" w:cs="宋体" w:asciiTheme="minorEastAsia" w:hAnsiTheme="minorEastAsia" w:eastAsiaTheme="minorEastAsia"/>
                <w:color w:val="000000"/>
                <w:sz w:val="24"/>
              </w:rPr>
              <w:t>禄劝民发建材有限责任公司</w:t>
            </w:r>
            <w:r>
              <w:rPr>
                <w:rFonts w:cs="宋体" w:asciiTheme="minorEastAsia" w:hAnsiTheme="minorEastAsia" w:eastAsiaTheme="minorEastAsia"/>
                <w:color w:val="000000"/>
                <w:sz w:val="24"/>
              </w:rPr>
              <w:t>筹集。</w:t>
            </w:r>
            <w:r>
              <w:rPr>
                <w:rFonts w:hint="eastAsia" w:cs="宋体" w:asciiTheme="minorEastAsia" w:hAnsiTheme="minorEastAsia" w:eastAsiaTheme="minorEastAsia"/>
                <w:color w:val="000000"/>
                <w:sz w:val="24"/>
              </w:rPr>
              <w:t>矿区生态修复费用提取分为3期，前期矿山已提取土地复垦费用13.85万元，本次第一期提取矿区生态修复费用为20.22万元，第一期提取费用和前期已提取费用之和大于静态总投资的20%。矿区生态修复费用参照原土地复垦费用管理模式，矿区生态修复费用从建设或生产成本中提取，应根据修复工作安排制定矿区生态修复计划，采取有效措施保障矿区生态修复费用专款专用。费用不足的，要及时足额追加投资，确保矿区生态修复工作顺利进行。</w:t>
            </w:r>
          </w:p>
          <w:p w14:paraId="07316453">
            <w:pPr>
              <w:spacing w:line="360" w:lineRule="auto"/>
              <w:ind w:firstLine="482" w:firstLineChars="200"/>
              <w:jc w:val="left"/>
              <w:rPr>
                <w:rFonts w:hint="eastAsia"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五、公众参与</w:t>
            </w:r>
          </w:p>
          <w:p w14:paraId="1B5E45B4">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矿业权人及编制单位在《方案》编制过程中征询了禄劝彝族苗族自治县屏山镇茂龙村民委员会及当地村民代表的意见和建议，并对征询结果在村委告示栏进行公示，公示期间无异议。通过公众参与调查，大多数被调查人员对生态修复工作有所了解，绝大多数人认为该项目的实施对当地经济和自然环境能起到积极作用，对该项目开展给予支持。</w:t>
            </w:r>
          </w:p>
          <w:p w14:paraId="4BE1C861">
            <w:pPr>
              <w:spacing w:line="360" w:lineRule="auto"/>
              <w:ind w:firstLine="482" w:firstLineChars="200"/>
              <w:jc w:val="left"/>
              <w:rPr>
                <w:rFonts w:hint="eastAsia"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六、存在问题及建议</w:t>
            </w:r>
          </w:p>
          <w:p w14:paraId="72EFC214">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1、矿山采矿权范围内分布有生产加工区、办公区、堆晒场等附属设施相互交叉，建议基建期对采矿权内附属设施外迁，结合各企业的影响情况进行系统安排，以免影响各矿山采矿进度及修复时序安排；</w:t>
            </w:r>
          </w:p>
          <w:p w14:paraId="65050463">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2、开采中，做好采坑边坡的监测及维护工作，定期检查边坡的稳定状况，及时清理松动浮石；</w:t>
            </w:r>
          </w:p>
          <w:p w14:paraId="067572DC">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3、开采时应认真贯彻“预防为主，防治结合，尽量减少对生态环境的扰动破坏”的原则，并严格按采矿设计进行开采。本方案是依据现有开发利用方案设计进行分析的，若开发利用方案发生变动，应修订或重新编制治理方案；在方案服务年限内，如采矿权人申请变更矿区范围、矿种、生产规模、开采方式，必须重新编制或修编矿山生态修复方案。</w:t>
            </w:r>
          </w:p>
          <w:p w14:paraId="1241A87E">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4、采矿终了后，将会在地表形成采坑，为了避免对人员、牲畜等造成威胁，建议在实施矿山修复的同时，加强监测和管理，并充分发挥工程措施控制性和时效性。</w:t>
            </w:r>
          </w:p>
          <w:p w14:paraId="32402DDF">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5、梳理边开采边修复时序衔接安排的合理性，细化完善后期管护方案的具体可操作性。</w:t>
            </w:r>
          </w:p>
          <w:p w14:paraId="1BA6C50C">
            <w:pPr>
              <w:spacing w:line="360" w:lineRule="auto"/>
              <w:ind w:firstLine="480" w:firstLineChars="200"/>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6、对项目的工程设计、工程量、预算编制依据、费用构成及计算标准进行全面、系统性复核与修正，并重点补充缺失依据、统一标准规范，修正预算编制依据、工程量计算、材料价格与取费标准等错误与不足，同时优化投资结构与实施计划，确保报告数据准确、依据充分、投资合理。</w:t>
            </w:r>
          </w:p>
          <w:p w14:paraId="261139B6">
            <w:pPr>
              <w:spacing w:line="360" w:lineRule="auto"/>
              <w:ind w:firstLine="482" w:firstLineChars="200"/>
              <w:jc w:val="left"/>
              <w:rPr>
                <w:rFonts w:hint="eastAsia"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七、结论</w:t>
            </w:r>
          </w:p>
          <w:p w14:paraId="19580CCB">
            <w:pPr>
              <w:spacing w:line="360" w:lineRule="auto"/>
              <w:ind w:firstLine="480" w:firstLineChars="200"/>
              <w:jc w:val="left"/>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经专家组合议，同意本方案通过技术审查。方案编制单位按专家组及专家个人意见对方案进行修改完善后提交采矿权人使用。</w:t>
            </w:r>
          </w:p>
          <w:p w14:paraId="16F57634">
            <w:pPr>
              <w:spacing w:line="360" w:lineRule="auto"/>
              <w:ind w:firstLine="480" w:firstLineChars="200"/>
              <w:jc w:val="left"/>
              <w:rPr>
                <w:rFonts w:hint="eastAsia" w:cs="宋体" w:asciiTheme="minorEastAsia" w:hAnsiTheme="minorEastAsia" w:eastAsiaTheme="minorEastAsia"/>
                <w:color w:val="000000"/>
                <w:sz w:val="24"/>
              </w:rPr>
            </w:pPr>
          </w:p>
          <w:p w14:paraId="523E1F85">
            <w:pPr>
              <w:spacing w:line="360" w:lineRule="auto"/>
              <w:ind w:firstLine="480" w:firstLineChars="200"/>
              <w:jc w:val="left"/>
              <w:rPr>
                <w:rFonts w:hint="eastAsia" w:cs="宋体" w:asciiTheme="minorEastAsia" w:hAnsiTheme="minorEastAsia" w:eastAsiaTheme="minorEastAsia"/>
                <w:color w:val="000000"/>
                <w:sz w:val="24"/>
              </w:rPr>
            </w:pPr>
          </w:p>
          <w:p w14:paraId="4D9A7414">
            <w:pPr>
              <w:spacing w:line="360" w:lineRule="auto"/>
              <w:ind w:firstLine="480" w:firstLineChars="200"/>
              <w:jc w:val="left"/>
              <w:rPr>
                <w:rFonts w:hint="eastAsia" w:cs="宋体" w:asciiTheme="minorEastAsia" w:hAnsiTheme="minorEastAsia" w:eastAsiaTheme="minorEastAsia"/>
                <w:color w:val="000000"/>
                <w:sz w:val="24"/>
              </w:rPr>
            </w:pPr>
          </w:p>
          <w:p w14:paraId="32641A34">
            <w:pPr>
              <w:spacing w:line="360" w:lineRule="auto"/>
              <w:ind w:firstLine="480" w:firstLineChars="200"/>
              <w:jc w:val="left"/>
              <w:rPr>
                <w:rFonts w:hint="eastAsia" w:cs="宋体" w:asciiTheme="minorEastAsia" w:hAnsiTheme="minorEastAsia" w:eastAsiaTheme="minorEastAsia"/>
                <w:color w:val="000000"/>
                <w:sz w:val="24"/>
              </w:rPr>
            </w:pPr>
          </w:p>
          <w:p w14:paraId="496BCD95">
            <w:pPr>
              <w:spacing w:line="360" w:lineRule="auto"/>
              <w:ind w:firstLine="480" w:firstLineChars="200"/>
              <w:jc w:val="left"/>
              <w:rPr>
                <w:rFonts w:hint="eastAsia" w:cs="宋体" w:asciiTheme="minorEastAsia" w:hAnsiTheme="minorEastAsia" w:eastAsiaTheme="minorEastAsia"/>
                <w:color w:val="000000"/>
                <w:sz w:val="24"/>
              </w:rPr>
            </w:pPr>
          </w:p>
          <w:p w14:paraId="05262771">
            <w:pPr>
              <w:spacing w:line="360" w:lineRule="auto"/>
              <w:ind w:firstLine="480" w:firstLineChars="200"/>
              <w:jc w:val="left"/>
              <w:rPr>
                <w:rFonts w:hint="eastAsia" w:cs="宋体" w:asciiTheme="minorEastAsia" w:hAnsiTheme="minorEastAsia" w:eastAsiaTheme="minorEastAsia"/>
                <w:color w:val="000000"/>
                <w:sz w:val="24"/>
              </w:rPr>
            </w:pPr>
          </w:p>
          <w:p w14:paraId="256F0017">
            <w:pPr>
              <w:spacing w:line="360" w:lineRule="auto"/>
              <w:ind w:firstLine="480" w:firstLineChars="200"/>
              <w:jc w:val="left"/>
              <w:rPr>
                <w:rFonts w:hint="eastAsia" w:cs="宋体" w:asciiTheme="minorEastAsia" w:hAnsiTheme="minorEastAsia" w:eastAsiaTheme="minorEastAsia"/>
                <w:color w:val="000000"/>
                <w:sz w:val="24"/>
              </w:rPr>
            </w:pPr>
          </w:p>
          <w:p w14:paraId="4347C4F7">
            <w:pPr>
              <w:spacing w:line="360" w:lineRule="auto"/>
              <w:ind w:firstLine="480" w:firstLineChars="200"/>
              <w:jc w:val="left"/>
              <w:rPr>
                <w:rFonts w:hint="eastAsia" w:cs="宋体" w:asciiTheme="minorEastAsia" w:hAnsiTheme="minorEastAsia" w:eastAsiaTheme="minorEastAsia"/>
                <w:color w:val="000000"/>
                <w:sz w:val="24"/>
              </w:rPr>
            </w:pPr>
          </w:p>
          <w:p w14:paraId="1A31A7F7">
            <w:pPr>
              <w:spacing w:line="360" w:lineRule="auto"/>
              <w:ind w:firstLine="480" w:firstLineChars="200"/>
              <w:jc w:val="left"/>
              <w:rPr>
                <w:rFonts w:hint="eastAsia" w:cs="宋体" w:asciiTheme="minorEastAsia" w:hAnsiTheme="minorEastAsia" w:eastAsiaTheme="minorEastAsia"/>
                <w:color w:val="000000"/>
                <w:sz w:val="24"/>
              </w:rPr>
            </w:pPr>
          </w:p>
          <w:p w14:paraId="50AEDD29">
            <w:pPr>
              <w:spacing w:line="360" w:lineRule="auto"/>
              <w:ind w:firstLine="480" w:firstLineChars="200"/>
              <w:jc w:val="left"/>
              <w:rPr>
                <w:rFonts w:hint="eastAsia" w:cs="宋体" w:asciiTheme="minorEastAsia" w:hAnsiTheme="minorEastAsia" w:eastAsiaTheme="minorEastAsia"/>
                <w:color w:val="000000"/>
                <w:sz w:val="24"/>
              </w:rPr>
            </w:pPr>
          </w:p>
          <w:p w14:paraId="73B0ED69">
            <w:pPr>
              <w:spacing w:line="360" w:lineRule="auto"/>
              <w:ind w:firstLine="480" w:firstLineChars="200"/>
              <w:jc w:val="left"/>
              <w:rPr>
                <w:rFonts w:hint="eastAsia" w:cs="宋体" w:asciiTheme="minorEastAsia" w:hAnsiTheme="minorEastAsia" w:eastAsiaTheme="minorEastAsia"/>
                <w:color w:val="000000"/>
                <w:sz w:val="24"/>
              </w:rPr>
            </w:pPr>
          </w:p>
          <w:p w14:paraId="1DF21AE1">
            <w:pPr>
              <w:spacing w:line="360" w:lineRule="auto"/>
              <w:ind w:firstLine="480" w:firstLineChars="200"/>
              <w:jc w:val="left"/>
              <w:rPr>
                <w:rFonts w:hint="eastAsia" w:cs="宋体" w:asciiTheme="minorEastAsia" w:hAnsiTheme="minorEastAsia" w:eastAsiaTheme="minorEastAsia"/>
                <w:color w:val="000000"/>
                <w:sz w:val="24"/>
              </w:rPr>
            </w:pPr>
          </w:p>
          <w:p w14:paraId="4250C015">
            <w:pPr>
              <w:spacing w:line="360" w:lineRule="auto"/>
              <w:ind w:firstLine="480" w:firstLineChars="200"/>
              <w:jc w:val="left"/>
              <w:rPr>
                <w:rFonts w:hint="eastAsia" w:cs="宋体" w:asciiTheme="minorEastAsia" w:hAnsiTheme="minorEastAsia" w:eastAsiaTheme="minorEastAsia"/>
                <w:color w:val="000000"/>
                <w:sz w:val="24"/>
              </w:rPr>
            </w:pPr>
          </w:p>
          <w:p w14:paraId="25D7B409">
            <w:pPr>
              <w:spacing w:line="360" w:lineRule="auto"/>
              <w:ind w:firstLine="480" w:firstLineChars="200"/>
              <w:jc w:val="left"/>
              <w:rPr>
                <w:rFonts w:hint="eastAsia" w:cs="宋体" w:asciiTheme="minorEastAsia" w:hAnsiTheme="minorEastAsia" w:eastAsiaTheme="minorEastAsia"/>
                <w:color w:val="000000"/>
                <w:sz w:val="24"/>
              </w:rPr>
            </w:pPr>
          </w:p>
          <w:p w14:paraId="009D4D99">
            <w:pPr>
              <w:spacing w:line="360" w:lineRule="auto"/>
              <w:ind w:firstLine="480" w:firstLineChars="200"/>
              <w:jc w:val="left"/>
              <w:rPr>
                <w:rFonts w:hint="eastAsia" w:cs="宋体" w:asciiTheme="minorEastAsia" w:hAnsiTheme="minorEastAsia" w:eastAsiaTheme="minorEastAsia"/>
                <w:color w:val="000000"/>
                <w:sz w:val="24"/>
              </w:rPr>
            </w:pPr>
          </w:p>
          <w:p w14:paraId="50841EAC">
            <w:pPr>
              <w:spacing w:line="360" w:lineRule="auto"/>
              <w:ind w:firstLine="480" w:firstLineChars="200"/>
              <w:jc w:val="left"/>
              <w:rPr>
                <w:rFonts w:hint="eastAsia" w:cs="宋体" w:asciiTheme="minorEastAsia" w:hAnsiTheme="minorEastAsia" w:eastAsiaTheme="minorEastAsia"/>
                <w:color w:val="000000"/>
                <w:sz w:val="24"/>
              </w:rPr>
            </w:pPr>
          </w:p>
          <w:p w14:paraId="33E55340">
            <w:pPr>
              <w:spacing w:line="360" w:lineRule="auto"/>
              <w:ind w:firstLine="480" w:firstLineChars="200"/>
              <w:jc w:val="left"/>
              <w:rPr>
                <w:rFonts w:hint="eastAsia" w:cs="宋体" w:asciiTheme="minorEastAsia" w:hAnsiTheme="minorEastAsia" w:eastAsiaTheme="minorEastAsia"/>
                <w:color w:val="000000"/>
                <w:sz w:val="24"/>
              </w:rPr>
            </w:pPr>
          </w:p>
          <w:p w14:paraId="08C5204F">
            <w:pPr>
              <w:spacing w:line="360" w:lineRule="auto"/>
              <w:ind w:firstLine="480" w:firstLineChars="200"/>
              <w:jc w:val="left"/>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lang w:val="en-US" w:eastAsia="zh-CN"/>
              </w:rPr>
              <w:t xml:space="preserve">                          </w:t>
            </w:r>
            <w:r>
              <w:rPr>
                <w:rFonts w:hint="eastAsia" w:cs="宋体" w:asciiTheme="minorEastAsia" w:hAnsiTheme="minorEastAsia" w:eastAsiaTheme="minorEastAsia"/>
                <w:color w:val="000000"/>
                <w:sz w:val="24"/>
              </w:rPr>
              <w:drawing>
                <wp:inline distT="0" distB="0" distL="114300" distR="114300">
                  <wp:extent cx="2969260" cy="1400175"/>
                  <wp:effectExtent l="0" t="0" r="254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969260" cy="1400175"/>
                          </a:xfrm>
                          <a:prstGeom prst="rect">
                            <a:avLst/>
                          </a:prstGeom>
                          <a:noFill/>
                          <a:ln>
                            <a:noFill/>
                          </a:ln>
                        </pic:spPr>
                      </pic:pic>
                    </a:graphicData>
                  </a:graphic>
                </wp:inline>
              </w:drawing>
            </w:r>
          </w:p>
          <w:p w14:paraId="704942A2">
            <w:pPr>
              <w:spacing w:line="360" w:lineRule="auto"/>
              <w:ind w:firstLine="720" w:firstLineChars="300"/>
              <w:jc w:val="right"/>
              <w:rPr>
                <w:rFonts w:hint="eastAsia" w:ascii="宋体" w:hAnsi="宋体" w:cs="宋体"/>
                <w:color w:val="000000"/>
                <w:sz w:val="24"/>
              </w:rPr>
            </w:pPr>
          </w:p>
        </w:tc>
      </w:tr>
    </w:tbl>
    <w:p w14:paraId="506B3136"/>
    <w:p w14:paraId="4D9896A0">
      <w:pPr>
        <w:autoSpaceDE w:val="0"/>
        <w:autoSpaceDN w:val="0"/>
        <w:spacing w:line="360" w:lineRule="auto"/>
        <w:ind w:firstLine="643" w:firstLineChars="200"/>
        <w:jc w:val="center"/>
        <w:rPr>
          <w:rFonts w:hint="eastAsia" w:ascii="宋体" w:hAnsi="宋体" w:cs="宋体"/>
          <w:b/>
          <w:bCs/>
          <w:kern w:val="0"/>
          <w:sz w:val="32"/>
          <w:szCs w:val="32"/>
          <w:lang w:eastAsia="zh-CN"/>
        </w:rPr>
      </w:pPr>
      <w:r>
        <w:rPr>
          <w:rFonts w:hint="eastAsia" w:ascii="宋体" w:hAnsi="宋体" w:cs="宋体"/>
          <w:b/>
          <w:bCs/>
          <w:kern w:val="0"/>
          <w:sz w:val="32"/>
          <w:szCs w:val="32"/>
          <w:lang w:eastAsia="zh-CN"/>
        </w:rPr>
        <w:t>禄劝民发建材有限责任公司茂龙页岩砖厂</w:t>
      </w:r>
    </w:p>
    <w:p w14:paraId="5BF93BA0">
      <w:pPr>
        <w:autoSpaceDE w:val="0"/>
        <w:autoSpaceDN w:val="0"/>
        <w:spacing w:line="360" w:lineRule="auto"/>
        <w:ind w:firstLine="643" w:firstLineChars="200"/>
        <w:jc w:val="center"/>
        <w:rPr>
          <w:rFonts w:hint="default" w:ascii="宋体" w:hAnsi="宋体" w:cs="宋体"/>
          <w:b/>
          <w:bCs/>
          <w:kern w:val="0"/>
          <w:sz w:val="32"/>
          <w:szCs w:val="32"/>
          <w:lang w:val="en-US"/>
        </w:rPr>
      </w:pPr>
      <w:r>
        <w:rPr>
          <w:rFonts w:hint="eastAsia" w:ascii="宋体" w:hAnsi="宋体" w:cs="宋体"/>
          <w:b/>
          <w:bCs/>
          <w:kern w:val="0"/>
          <w:sz w:val="32"/>
          <w:szCs w:val="32"/>
          <w:lang w:eastAsia="zh-CN"/>
        </w:rPr>
        <w:t>矿区生态修复案</w:t>
      </w:r>
      <w:r>
        <w:rPr>
          <w:rFonts w:hint="eastAsia" w:ascii="宋体" w:hAnsi="宋体" w:cs="宋体"/>
          <w:b/>
          <w:bCs/>
          <w:kern w:val="0"/>
          <w:sz w:val="32"/>
          <w:szCs w:val="32"/>
          <w:lang w:val="en-US" w:eastAsia="zh-CN"/>
        </w:rPr>
        <w:t>专家组审查名单</w:t>
      </w:r>
    </w:p>
    <w:tbl>
      <w:tblPr>
        <w:tblStyle w:val="3"/>
        <w:tblW w:w="9671" w:type="dxa"/>
        <w:tblInd w:w="-1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
        <w:gridCol w:w="1367"/>
        <w:gridCol w:w="3717"/>
        <w:gridCol w:w="1650"/>
        <w:gridCol w:w="2043"/>
      </w:tblGrid>
      <w:tr w14:paraId="33D54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894" w:type="dxa"/>
            <w:vAlign w:val="center"/>
          </w:tcPr>
          <w:p w14:paraId="6F6D6F5F">
            <w:pPr>
              <w:keepNext w:val="0"/>
              <w:keepLines w:val="0"/>
              <w:pageBreakBefore w:val="0"/>
              <w:widowControl w:val="0"/>
              <w:kinsoku/>
              <w:wordWrap/>
              <w:overflowPunct/>
              <w:topLinePunct w:val="0"/>
              <w:bidi w:val="0"/>
              <w:adjustRightInd/>
              <w:snapToGrid/>
              <w:spacing w:line="300" w:lineRule="exact"/>
              <w:ind w:firstLine="0" w:firstLineChars="0"/>
              <w:jc w:val="center"/>
              <w:textAlignment w:val="auto"/>
              <w:rPr>
                <w:rFonts w:hint="default" w:ascii="宋体" w:hAnsi="宋体"/>
                <w:sz w:val="28"/>
                <w:szCs w:val="28"/>
                <w:lang w:val="en-US" w:eastAsia="zh-CN"/>
              </w:rPr>
            </w:pPr>
            <w:r>
              <w:rPr>
                <w:rFonts w:hint="eastAsia" w:ascii="宋体" w:hAnsi="宋体"/>
                <w:sz w:val="28"/>
                <w:szCs w:val="28"/>
                <w:lang w:val="en-US" w:eastAsia="zh-CN"/>
              </w:rPr>
              <w:t>序号</w:t>
            </w:r>
          </w:p>
        </w:tc>
        <w:tc>
          <w:tcPr>
            <w:tcW w:w="1367" w:type="dxa"/>
            <w:shd w:val="clear" w:color="auto" w:fill="auto"/>
            <w:vAlign w:val="center"/>
          </w:tcPr>
          <w:p w14:paraId="08CDCEB7">
            <w:pPr>
              <w:keepNext w:val="0"/>
              <w:keepLines w:val="0"/>
              <w:pageBreakBefore w:val="0"/>
              <w:widowControl w:val="0"/>
              <w:kinsoku/>
              <w:wordWrap/>
              <w:overflowPunct/>
              <w:topLinePunct w:val="0"/>
              <w:bidi w:val="0"/>
              <w:adjustRightInd/>
              <w:snapToGrid/>
              <w:spacing w:line="300" w:lineRule="exact"/>
              <w:ind w:firstLine="0" w:firstLineChars="0"/>
              <w:jc w:val="center"/>
              <w:textAlignment w:val="auto"/>
              <w:rPr>
                <w:rFonts w:hint="eastAsia" w:ascii="宋体" w:hAnsi="宋体"/>
                <w:sz w:val="28"/>
                <w:szCs w:val="28"/>
                <w:lang w:val="en-US" w:eastAsia="zh-CN"/>
              </w:rPr>
            </w:pPr>
            <w:r>
              <w:rPr>
                <w:rFonts w:hint="eastAsia" w:ascii="宋体" w:hAnsi="宋体"/>
                <w:sz w:val="28"/>
                <w:szCs w:val="28"/>
              </w:rPr>
              <w:t>姓名</w:t>
            </w:r>
          </w:p>
        </w:tc>
        <w:tc>
          <w:tcPr>
            <w:tcW w:w="3717" w:type="dxa"/>
            <w:shd w:val="clear" w:color="auto" w:fill="auto"/>
            <w:vAlign w:val="center"/>
          </w:tcPr>
          <w:p w14:paraId="7A6DEED8">
            <w:pPr>
              <w:keepNext w:val="0"/>
              <w:keepLines w:val="0"/>
              <w:pageBreakBefore w:val="0"/>
              <w:widowControl w:val="0"/>
              <w:kinsoku/>
              <w:wordWrap/>
              <w:overflowPunct/>
              <w:topLinePunct w:val="0"/>
              <w:bidi w:val="0"/>
              <w:adjustRightInd/>
              <w:snapToGrid/>
              <w:spacing w:line="300" w:lineRule="exact"/>
              <w:ind w:firstLine="0" w:firstLineChars="0"/>
              <w:jc w:val="center"/>
              <w:textAlignment w:val="auto"/>
              <w:rPr>
                <w:rFonts w:hint="eastAsia" w:ascii="宋体" w:hAnsi="宋体" w:eastAsia="宋体" w:cs="宋体"/>
                <w:kern w:val="0"/>
                <w:sz w:val="28"/>
                <w:szCs w:val="28"/>
                <w:vertAlign w:val="baseline"/>
                <w:lang w:val="en-US" w:eastAsia="zh-CN" w:bidi="ar-SA"/>
              </w:rPr>
            </w:pPr>
            <w:r>
              <w:rPr>
                <w:rFonts w:hint="eastAsia" w:ascii="宋体" w:hAnsi="宋体"/>
                <w:sz w:val="28"/>
                <w:szCs w:val="28"/>
              </w:rPr>
              <w:t>单   位</w:t>
            </w:r>
          </w:p>
        </w:tc>
        <w:tc>
          <w:tcPr>
            <w:tcW w:w="1650" w:type="dxa"/>
            <w:shd w:val="clear" w:color="auto" w:fill="auto"/>
            <w:vAlign w:val="center"/>
          </w:tcPr>
          <w:p w14:paraId="2CBFBE3A">
            <w:pPr>
              <w:keepNext w:val="0"/>
              <w:keepLines w:val="0"/>
              <w:pageBreakBefore w:val="0"/>
              <w:widowControl w:val="0"/>
              <w:kinsoku/>
              <w:wordWrap/>
              <w:overflowPunct/>
              <w:topLinePunct w:val="0"/>
              <w:bidi w:val="0"/>
              <w:adjustRightInd/>
              <w:snapToGrid/>
              <w:spacing w:line="300" w:lineRule="exact"/>
              <w:ind w:firstLine="0" w:firstLineChars="0"/>
              <w:jc w:val="center"/>
              <w:textAlignment w:val="auto"/>
              <w:rPr>
                <w:rFonts w:hint="eastAsia" w:ascii="宋体" w:hAnsi="宋体" w:eastAsia="宋体" w:cs="宋体"/>
                <w:kern w:val="0"/>
                <w:sz w:val="28"/>
                <w:szCs w:val="28"/>
                <w:vertAlign w:val="baseline"/>
                <w:lang w:val="en-US" w:eastAsia="zh-CN" w:bidi="ar-SA"/>
              </w:rPr>
            </w:pPr>
            <w:r>
              <w:rPr>
                <w:rFonts w:hint="eastAsia" w:ascii="宋体" w:hAnsi="宋体"/>
                <w:sz w:val="28"/>
                <w:szCs w:val="28"/>
              </w:rPr>
              <w:t>职务职称</w:t>
            </w:r>
          </w:p>
        </w:tc>
        <w:tc>
          <w:tcPr>
            <w:tcW w:w="2043" w:type="dxa"/>
            <w:shd w:val="clear" w:color="auto" w:fill="auto"/>
            <w:vAlign w:val="center"/>
          </w:tcPr>
          <w:p w14:paraId="32E6DF9B">
            <w:pPr>
              <w:keepNext w:val="0"/>
              <w:keepLines w:val="0"/>
              <w:pageBreakBefore w:val="0"/>
              <w:widowControl w:val="0"/>
              <w:kinsoku/>
              <w:wordWrap/>
              <w:overflowPunct/>
              <w:topLinePunct w:val="0"/>
              <w:bidi w:val="0"/>
              <w:adjustRightInd/>
              <w:snapToGrid/>
              <w:spacing w:line="300" w:lineRule="exact"/>
              <w:ind w:firstLine="0" w:firstLineChars="0"/>
              <w:jc w:val="center"/>
              <w:textAlignment w:val="auto"/>
              <w:rPr>
                <w:rFonts w:hint="eastAsia" w:ascii="宋体" w:hAnsi="宋体" w:eastAsia="宋体" w:cs="宋体"/>
                <w:kern w:val="0"/>
                <w:sz w:val="28"/>
                <w:szCs w:val="28"/>
                <w:vertAlign w:val="baseline"/>
                <w:lang w:val="en-US" w:eastAsia="zh-CN" w:bidi="ar-SA"/>
              </w:rPr>
            </w:pPr>
            <w:r>
              <w:rPr>
                <w:rFonts w:hint="eastAsia" w:ascii="宋体" w:hAnsi="宋体"/>
                <w:sz w:val="28"/>
                <w:szCs w:val="28"/>
              </w:rPr>
              <w:t>专业</w:t>
            </w:r>
          </w:p>
        </w:tc>
      </w:tr>
      <w:tr w14:paraId="0D930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894" w:type="dxa"/>
          </w:tcPr>
          <w:p w14:paraId="7AB3A0AC">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kern w:val="0"/>
                <w:sz w:val="28"/>
                <w:szCs w:val="28"/>
                <w:vertAlign w:val="baseline"/>
                <w:lang w:val="en-US" w:eastAsia="zh-CN"/>
              </w:rPr>
            </w:pPr>
            <w:r>
              <w:rPr>
                <w:rFonts w:hint="eastAsia" w:ascii="宋体" w:hAnsi="宋体" w:cs="宋体"/>
                <w:kern w:val="0"/>
                <w:sz w:val="28"/>
                <w:szCs w:val="28"/>
                <w:vertAlign w:val="baseline"/>
                <w:lang w:val="en-US" w:eastAsia="zh-CN"/>
              </w:rPr>
              <w:t>1</w:t>
            </w:r>
          </w:p>
        </w:tc>
        <w:tc>
          <w:tcPr>
            <w:tcW w:w="1367" w:type="dxa"/>
            <w:vAlign w:val="center"/>
          </w:tcPr>
          <w:p w14:paraId="066C644C">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杨金和</w:t>
            </w:r>
          </w:p>
        </w:tc>
        <w:tc>
          <w:tcPr>
            <w:tcW w:w="3717" w:type="dxa"/>
            <w:vAlign w:val="center"/>
          </w:tcPr>
          <w:p w14:paraId="71E325AB">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西南有色昆明勘测设计（院）股份有限公司</w:t>
            </w:r>
          </w:p>
        </w:tc>
        <w:tc>
          <w:tcPr>
            <w:tcW w:w="1650" w:type="dxa"/>
            <w:vAlign w:val="center"/>
          </w:tcPr>
          <w:p w14:paraId="0E950596">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高级工程师</w:t>
            </w:r>
          </w:p>
        </w:tc>
        <w:tc>
          <w:tcPr>
            <w:tcW w:w="2043" w:type="dxa"/>
            <w:vAlign w:val="center"/>
          </w:tcPr>
          <w:p w14:paraId="681D66F1">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水工环、生态修复</w:t>
            </w:r>
          </w:p>
        </w:tc>
      </w:tr>
      <w:tr w14:paraId="6539F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894" w:type="dxa"/>
          </w:tcPr>
          <w:p w14:paraId="3D763C35">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kern w:val="0"/>
                <w:sz w:val="28"/>
                <w:szCs w:val="28"/>
                <w:vertAlign w:val="baseline"/>
                <w:lang w:val="en-US" w:eastAsia="zh-CN"/>
              </w:rPr>
            </w:pPr>
            <w:r>
              <w:rPr>
                <w:rFonts w:hint="eastAsia" w:ascii="宋体" w:hAnsi="宋体" w:cs="宋体"/>
                <w:kern w:val="0"/>
                <w:sz w:val="28"/>
                <w:szCs w:val="28"/>
                <w:vertAlign w:val="baseline"/>
                <w:lang w:val="en-US" w:eastAsia="zh-CN"/>
              </w:rPr>
              <w:t>2</w:t>
            </w:r>
          </w:p>
        </w:tc>
        <w:tc>
          <w:tcPr>
            <w:tcW w:w="1367" w:type="dxa"/>
            <w:vAlign w:val="center"/>
          </w:tcPr>
          <w:p w14:paraId="04352376">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刘江波</w:t>
            </w:r>
          </w:p>
        </w:tc>
        <w:tc>
          <w:tcPr>
            <w:tcW w:w="3717" w:type="dxa"/>
            <w:vAlign w:val="center"/>
          </w:tcPr>
          <w:p w14:paraId="40BD14D4">
            <w:pPr>
              <w:keepNext w:val="0"/>
              <w:keepLines w:val="0"/>
              <w:pageBreakBefore w:val="0"/>
              <w:widowControl w:val="0"/>
              <w:kinsoku/>
              <w:wordWrap/>
              <w:overflowPunct/>
              <w:topLinePunct w:val="0"/>
              <w:autoSpaceDE/>
              <w:autoSpaceDN/>
              <w:bidi w:val="0"/>
              <w:adjustRightInd/>
              <w:snapToGrid/>
              <w:spacing w:line="30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中国有色金属工业昆明勘察设计研究院有限公司</w:t>
            </w:r>
          </w:p>
        </w:tc>
        <w:tc>
          <w:tcPr>
            <w:tcW w:w="1650" w:type="dxa"/>
            <w:vAlign w:val="center"/>
          </w:tcPr>
          <w:p w14:paraId="2EE68B88">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高级工程师</w:t>
            </w:r>
          </w:p>
        </w:tc>
        <w:tc>
          <w:tcPr>
            <w:tcW w:w="2043" w:type="dxa"/>
            <w:vAlign w:val="center"/>
          </w:tcPr>
          <w:p w14:paraId="116903AF">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土地复垦、土地整治</w:t>
            </w:r>
          </w:p>
        </w:tc>
      </w:tr>
      <w:tr w14:paraId="36709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894" w:type="dxa"/>
          </w:tcPr>
          <w:p w14:paraId="68B51515">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kern w:val="0"/>
                <w:sz w:val="28"/>
                <w:szCs w:val="28"/>
                <w:vertAlign w:val="baseline"/>
                <w:lang w:val="en-US" w:eastAsia="zh-CN"/>
              </w:rPr>
            </w:pPr>
            <w:r>
              <w:rPr>
                <w:rFonts w:hint="eastAsia" w:ascii="宋体" w:hAnsi="宋体" w:cs="宋体"/>
                <w:kern w:val="0"/>
                <w:sz w:val="28"/>
                <w:szCs w:val="28"/>
                <w:vertAlign w:val="baseline"/>
                <w:lang w:val="en-US" w:eastAsia="zh-CN"/>
              </w:rPr>
              <w:t>3</w:t>
            </w:r>
          </w:p>
        </w:tc>
        <w:tc>
          <w:tcPr>
            <w:tcW w:w="1367" w:type="dxa"/>
            <w:vAlign w:val="center"/>
          </w:tcPr>
          <w:p w14:paraId="605B5BC5">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尚斌善</w:t>
            </w:r>
          </w:p>
        </w:tc>
        <w:tc>
          <w:tcPr>
            <w:tcW w:w="3717" w:type="dxa"/>
            <w:vAlign w:val="center"/>
          </w:tcPr>
          <w:p w14:paraId="5E2F7FC2">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昆明麦普空间科技有限公司</w:t>
            </w:r>
          </w:p>
        </w:tc>
        <w:tc>
          <w:tcPr>
            <w:tcW w:w="1650" w:type="dxa"/>
            <w:vAlign w:val="center"/>
          </w:tcPr>
          <w:p w14:paraId="0E571D25">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高级工程师</w:t>
            </w:r>
          </w:p>
        </w:tc>
        <w:tc>
          <w:tcPr>
            <w:tcW w:w="2043" w:type="dxa"/>
            <w:vAlign w:val="center"/>
          </w:tcPr>
          <w:p w14:paraId="243403D8">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生态修复规划、土地复垦</w:t>
            </w:r>
          </w:p>
        </w:tc>
      </w:tr>
      <w:tr w14:paraId="58F7A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894" w:type="dxa"/>
          </w:tcPr>
          <w:p w14:paraId="037D1366">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kern w:val="0"/>
                <w:sz w:val="28"/>
                <w:szCs w:val="28"/>
                <w:vertAlign w:val="baseline"/>
                <w:lang w:val="en-US" w:eastAsia="zh-CN"/>
              </w:rPr>
            </w:pPr>
            <w:r>
              <w:rPr>
                <w:rFonts w:hint="eastAsia" w:ascii="宋体" w:hAnsi="宋体" w:cs="宋体"/>
                <w:kern w:val="0"/>
                <w:sz w:val="28"/>
                <w:szCs w:val="28"/>
                <w:vertAlign w:val="baseline"/>
                <w:lang w:val="en-US" w:eastAsia="zh-CN"/>
              </w:rPr>
              <w:t>4</w:t>
            </w:r>
          </w:p>
        </w:tc>
        <w:tc>
          <w:tcPr>
            <w:tcW w:w="1367" w:type="dxa"/>
            <w:vAlign w:val="center"/>
          </w:tcPr>
          <w:p w14:paraId="1DB328DB">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杨家伟</w:t>
            </w:r>
          </w:p>
        </w:tc>
        <w:tc>
          <w:tcPr>
            <w:tcW w:w="3717" w:type="dxa"/>
            <w:vAlign w:val="center"/>
          </w:tcPr>
          <w:p w14:paraId="03AAEECC">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云南省林业调查规划院</w:t>
            </w:r>
          </w:p>
        </w:tc>
        <w:tc>
          <w:tcPr>
            <w:tcW w:w="1650" w:type="dxa"/>
            <w:vAlign w:val="center"/>
          </w:tcPr>
          <w:p w14:paraId="62A9FDDE">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高级工程师</w:t>
            </w:r>
          </w:p>
        </w:tc>
        <w:tc>
          <w:tcPr>
            <w:tcW w:w="2043" w:type="dxa"/>
            <w:vAlign w:val="center"/>
          </w:tcPr>
          <w:p w14:paraId="3734B68A">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林草规划</w:t>
            </w:r>
          </w:p>
        </w:tc>
      </w:tr>
      <w:tr w14:paraId="6022D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894" w:type="dxa"/>
          </w:tcPr>
          <w:p w14:paraId="41B1910D">
            <w:pPr>
              <w:keepNext w:val="0"/>
              <w:keepLines w:val="0"/>
              <w:pageBreakBefore w:val="0"/>
              <w:widowControl w:val="0"/>
              <w:kinsoku/>
              <w:wordWrap/>
              <w:overflowPunct/>
              <w:topLinePunct w:val="0"/>
              <w:autoSpaceDE w:val="0"/>
              <w:autoSpaceDN w:val="0"/>
              <w:bidi w:val="0"/>
              <w:adjustRightInd/>
              <w:snapToGrid/>
              <w:spacing w:line="360" w:lineRule="auto"/>
              <w:ind w:firstLine="0" w:firstLineChars="0"/>
              <w:jc w:val="center"/>
              <w:textAlignment w:val="auto"/>
              <w:rPr>
                <w:rFonts w:hint="eastAsia" w:ascii="宋体" w:hAnsi="宋体" w:eastAsia="宋体" w:cs="宋体"/>
                <w:kern w:val="0"/>
                <w:sz w:val="28"/>
                <w:szCs w:val="28"/>
                <w:vertAlign w:val="baseline"/>
                <w:lang w:val="en-US" w:eastAsia="zh-CN"/>
              </w:rPr>
            </w:pPr>
            <w:r>
              <w:rPr>
                <w:rFonts w:hint="eastAsia" w:ascii="宋体" w:hAnsi="宋体" w:cs="宋体"/>
                <w:kern w:val="0"/>
                <w:sz w:val="28"/>
                <w:szCs w:val="28"/>
                <w:vertAlign w:val="baseline"/>
                <w:lang w:val="en-US" w:eastAsia="zh-CN"/>
              </w:rPr>
              <w:t>5</w:t>
            </w:r>
          </w:p>
        </w:tc>
        <w:tc>
          <w:tcPr>
            <w:tcW w:w="1367" w:type="dxa"/>
            <w:vAlign w:val="center"/>
          </w:tcPr>
          <w:p w14:paraId="6F6C49AB">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陈运春</w:t>
            </w:r>
          </w:p>
        </w:tc>
        <w:tc>
          <w:tcPr>
            <w:tcW w:w="3717" w:type="dxa"/>
            <w:vAlign w:val="center"/>
          </w:tcPr>
          <w:p w14:paraId="20C2A42E">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云南农业大学</w:t>
            </w:r>
          </w:p>
        </w:tc>
        <w:tc>
          <w:tcPr>
            <w:tcW w:w="1650" w:type="dxa"/>
            <w:vAlign w:val="center"/>
          </w:tcPr>
          <w:p w14:paraId="23D6BC9A">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副教授</w:t>
            </w:r>
          </w:p>
        </w:tc>
        <w:tc>
          <w:tcPr>
            <w:tcW w:w="2043" w:type="dxa"/>
            <w:vAlign w:val="center"/>
          </w:tcPr>
          <w:p w14:paraId="78BB1DAC">
            <w:pPr>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宋体" w:hAnsi="宋体" w:cs="宋体"/>
                <w:kern w:val="0"/>
                <w:sz w:val="28"/>
                <w:szCs w:val="28"/>
                <w:vertAlign w:val="baseline"/>
              </w:rPr>
            </w:pPr>
            <w:r>
              <w:rPr>
                <w:rFonts w:hint="eastAsia" w:ascii="Times New Roman" w:eastAsia="宋体"/>
                <w:sz w:val="28"/>
                <w:szCs w:val="28"/>
                <w:lang w:val="en-US" w:eastAsia="zh-CN"/>
              </w:rPr>
              <w:t>工程预算</w:t>
            </w:r>
          </w:p>
        </w:tc>
      </w:tr>
    </w:tbl>
    <w:p w14:paraId="100E3D9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454"/>
    <w:rsid w:val="000746D5"/>
    <w:rsid w:val="002B1454"/>
    <w:rsid w:val="00310CFF"/>
    <w:rsid w:val="003C76ED"/>
    <w:rsid w:val="00445163"/>
    <w:rsid w:val="00496B4D"/>
    <w:rsid w:val="00631226"/>
    <w:rsid w:val="0066201D"/>
    <w:rsid w:val="00704F4B"/>
    <w:rsid w:val="007D34A0"/>
    <w:rsid w:val="00875D0D"/>
    <w:rsid w:val="00877449"/>
    <w:rsid w:val="00921FCA"/>
    <w:rsid w:val="009F65BE"/>
    <w:rsid w:val="00A14272"/>
    <w:rsid w:val="00A6778E"/>
    <w:rsid w:val="00F47ED1"/>
    <w:rsid w:val="01064C78"/>
    <w:rsid w:val="245A4686"/>
    <w:rsid w:val="3BA21F50"/>
    <w:rsid w:val="3E7A1968"/>
    <w:rsid w:val="59A57D21"/>
    <w:rsid w:val="668A2779"/>
    <w:rsid w:val="7B8E62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c1504178-f75c-4c73-a9d9-6bff281d5c21</errorID>
      <errorWord>矿区生态修复</errorWord>
      <group>L1_Political</group>
      <groupName>政治性问题</groupName>
      <ability>L2_Keyword</ability>
      <abilityName>固定表述</abilityName>
      <candidateList>
        <item>矿山生态修复</item>
      </candidateList>
      <explain>词汇“矿山生态修复”在特定场景下为固定表述形式，请确认此处的“矿区生态修复”是否存在不当。</explain>
      <paraID>4684C680</paraID>
      <start>0</start>
      <end>6</end>
      <status>ignored</status>
      <modifiedWord/>
      <trackRevisions>false</trackRevisions>
    </reviewItem>
    <reviewItem>
      <errorID>38c89233-cc8c-4f6f-aef7-5654e38da76e</errorID>
      <errorWord>矿区生态修复</errorWord>
      <group>L1_Political</group>
      <groupName>政治性问题</groupName>
      <ability>L2_Keyword</ability>
      <abilityName>固定表述</abilityName>
      <candidateList>
        <item>矿山生态修复</item>
      </candidateList>
      <explain>词汇“矿山生态修复”在特定场景下为固定表述形式，请确认此处的“矿区生态修复”是否存在不当。</explain>
      <paraID>5BA567EE</paraID>
      <start>0</start>
      <end>6</end>
      <status>ignored</status>
      <modifiedWord/>
      <trackRevisions>false</trackRevisions>
    </reviewItem>
    <reviewItem>
      <errorID>ebcb5c94-f278-4a06-9b79-2687c9270d19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4C0876C4</paraID>
      <start>11</start>
      <end>12</end>
      <status>ignored</status>
      <modifiedWord/>
      <trackRevisions>false</trackRevisions>
    </reviewItem>
    <reviewItem>
      <errorID>0b724d95-7783-4bb6-9476-99a48367638b</errorID>
      <errorWord>禄劝县</errorWord>
      <group>L1_Knowledge</group>
      <groupName>知识性问题</groupName>
      <ability>L2_Location</ability>
      <abilityName>地名检查</abilityName>
      <candidateList>
        <item>禄劝彝族苗族自治县</item>
      </candidateList>
      <explain>自治区州县缩写不规范。《地名管理条例》第十八条规定，标识牌、公共平台发布的信息、各类公文证件、学习类公开出版物、地图、法律法规规定等场景范围内必须使用标准地名。</explain>
      <paraID>246D9C77</paraID>
      <start>0</start>
      <end>3</end>
      <status>ignored</status>
      <modifiedWord/>
      <trackRevisions>false</trackRevisions>
    </reviewItem>
    <reviewItem>
      <errorID>d574b2cb-06dc-4576-8809-d3d3a570c301</errorID>
      <errorWord>较</errorWord>
      <group>L1_Word</group>
      <groupName>字词问题</groupName>
      <ability>L2_Typo</ability>
      <abilityName>字词错误</abilityName>
      <candidateList>
        <item>较为</item>
      </candidateList>
      <explain/>
      <paraID>7EFBE691</paraID>
      <start>101</start>
      <end>102</end>
      <status>ignored</status>
      <modifiedWord/>
      <trackRevisions>false</trackRevisions>
    </reviewItem>
    <reviewItem>
      <errorID>a0ddc0dd-9684-4d11-b93c-6e658d653c73</errorID>
      <errorWord>-</errorWord>
      <group>L1_Format</group>
      <groupName>格式问题</groupName>
      <ability>L2_HalfPunc_CN</ability>
      <abilityName>全半角问题</abilityName>
      <candidateList>
        <item>－</item>
      </candidateList>
      <explain>文本全半角错误。</explain>
      <paraID>1B6D60D1</paraID>
      <start>29</start>
      <end>30</end>
      <status>ignored</status>
      <modifiedWord/>
      <trackRevisions>false</trackRevisions>
    </reviewItem>
    <reviewItem>
      <errorID>4b5be774-1ab4-494f-b345-adf241dc55d3</errorID>
      <errorWord>-</errorWord>
      <group>L1_Format</group>
      <groupName>格式问题</groupName>
      <ability>L2_HalfPunc_CN</ability>
      <abilityName>全半角问题</abilityName>
      <candidateList>
        <item>－</item>
      </candidateList>
      <explain>文本全半角错误。</explain>
      <paraID>6BB35DE6</paraID>
      <start>127</start>
      <end>128</end>
      <status>ignored</status>
      <modifiedWord/>
      <trackRevisions>false</trackRevisions>
    </reviewItem>
    <reviewItem>
      <errorID>98b09836-1924-4a81-83fd-7c573044679c</errorID>
      <errorWord>矿区生态修复</errorWord>
      <group>L1_Political</group>
      <groupName>政治性问题</groupName>
      <ability>L2_Keyword</ability>
      <abilityName>固定表述</abilityName>
      <candidateList>
        <item>矿山生态修复</item>
      </candidateList>
      <explain>词汇“矿山生态修复”在特定场景下为固定表述形式，请确认此处的“矿区生态修复”是否存在不当。</explain>
      <paraID>2242BB0C</paraID>
      <start>18</start>
      <end>24</end>
      <status>ignored</status>
      <modifiedWord/>
      <trackRevisions>false</trackRevisions>
    </reviewItem>
    <reviewItem>
      <errorID>253a67f1-e095-483f-81ad-2fc1e061b5bc</errorID>
      <errorWord>采</errorWord>
      <group>L1_Word</group>
      <groupName>字词问题</groupName>
      <ability>L2_Typo</ability>
      <abilityName>字词错误</abilityName>
      <candidateList>
        <item>采场</item>
      </candidateList>
      <explain/>
      <paraID>49D7D135</paraID>
      <start>25</start>
      <end>26</end>
      <status>ignored</status>
      <modifiedWord/>
      <trackRevisions>false</trackRevisions>
    </reviewItem>
    <reviewItem>
      <errorID>d58b4a8e-e18c-49d4-8f36-7076e981b650</errorID>
      <errorWord>(</errorWord>
      <group>L1_Format</group>
      <groupName>格式问题</groupName>
      <ability>L2_HalfPunc_CN</ability>
      <abilityName>全半角问题</abilityName>
      <candidateList>
        <item>（</item>
      </candidateList>
      <explain>文本全半角错误。</explain>
      <paraID>567DD4AC</paraID>
      <start>4</start>
      <end>5</end>
      <status>ignored</status>
      <modifiedWord/>
      <trackRevisions>false</trackRevisions>
    </reviewItem>
    <reviewItem>
      <errorID>d2bb9ff6-69dd-49ee-9c2a-ab417cd51fc2</errorID>
      <errorWord>矿区生态修复</errorWord>
      <group>L1_Political</group>
      <groupName>政治性问题</groupName>
      <ability>L2_Keyword</ability>
      <abilityName>固定表述</abilityName>
      <candidateList>
        <item>矿山生态修复</item>
      </candidateList>
      <explain>词汇“矿山生态修复”在特定场景下为固定表述形式，请确认此处的“矿区生态修复”是否存在不当。</explain>
      <paraID>40491CB2</paraID>
      <start>4</start>
      <end>10</end>
      <status>ignored</status>
      <modifiedWord/>
      <trackRevisions>false</trackRevisions>
    </reviewItem>
    <reviewItem>
      <errorID>0a57f228-1cee-493d-a5fd-1ef3e04a596d</errorID>
      <errorWord>静</errorWord>
      <group>L1_Word</group>
      <groupName>字词问题</groupName>
      <ability>L2_Typo</ability>
      <abilityName>字词错误</abilityName>
      <candidateList>
        <item>静态</item>
      </candidateList>
      <explain/>
      <paraID>40491CB2</paraID>
      <start>34</start>
      <end>35</end>
      <status>unmodified</status>
      <modifiedWord/>
      <trackRevisions>false</trackRevisions>
    </reviewItem>
    <reviewItem>
      <errorID>7d42b24c-d9d2-4ae7-a33b-57a780630a18</errorID>
      <errorWord>矿区生态修复</errorWord>
      <group>L1_Political</group>
      <groupName>政治性问题</groupName>
      <ability>L2_Keyword</ability>
      <abilityName>固定表述</abilityName>
      <candidateList>
        <item>矿山生态修复</item>
      </candidateList>
      <explain>词汇“矿山生态修复”在特定场景下为固定表述形式，请确认此处的“矿区生态修复”是否存在不当。</explain>
      <paraID>40491CB2</paraID>
      <start>303</start>
      <end>309</end>
      <status>ignored</status>
      <modifiedWord/>
      <trackRevisions>false</trackRevisions>
    </reviewItem>
    <reviewItem>
      <errorID>98bf823f-04a9-423e-a4cf-a61a3c49cb13</errorID>
      <errorWord>屏山镇</errorWord>
      <group>L1_Word</group>
      <groupName>字词问题</groupName>
      <ability>L2_Variant</ability>
      <abilityName>异形词</abilityName>
      <candidateList>
        <item>屏山乡</item>
      </candidateList>
      <explain>词汇[屏山镇]的规范词形写作[屏山乡]。</explain>
      <paraID>1B5E45B4</paraID>
      <start>31</start>
      <end>34</end>
      <status>unmodified</status>
      <modifiedWord/>
      <trackRevisions>false</trackRevisions>
    </reviewItem>
    <reviewItem>
      <errorID>d3c50371-7fe0-48cd-b8c6-16b4a2392606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72EFC214</paraID>
      <start>0</start>
      <end>2</end>
      <status>unmodified</status>
      <modifiedWord/>
      <trackRevisions>false</trackRevisions>
    </reviewItem>
    <reviewItem>
      <errorID>4f94a1c4-7e61-4577-ab76-a41aa50fa87f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65050463</paraID>
      <start>0</start>
      <end>2</end>
      <status>unmodified</status>
      <modifiedWord/>
      <trackRevisions>false</trackRevisions>
    </reviewItem>
    <reviewItem>
      <errorID>07e08e23-c40d-4164-9e41-b9f62695a98d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67572DC</paraID>
      <start>0</start>
      <end>2</end>
      <status>unmodified</status>
      <modifiedWord/>
      <trackRevisions>false</trackRevisions>
    </reviewItem>
    <reviewItem>
      <errorID>a6c26c12-720b-411b-9590-b3a9af3b78df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1241A87E</paraID>
      <start>0</start>
      <end>2</end>
      <status>unmodified</status>
      <modifiedWord/>
      <trackRevisions>false</trackRevisions>
    </reviewItem>
    <reviewItem>
      <errorID>d171b8ed-267a-4560-8a22-b1422ff58c2a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32402DDF</paraID>
      <start>0</start>
      <end>2</end>
      <status>unmodified</status>
      <modifiedWord/>
      <trackRevisions>false</trackRevisions>
    </reviewItem>
    <reviewItem>
      <errorID>4bdf7665-e473-4040-8761-03122e31b6cd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1BA6C50C</paraID>
      <start>0</start>
      <end>2</end>
      <status>unmodified</status>
      <modifiedWord/>
      <trackRevisions>false</trackRevisions>
    </reviewItem>
    <reviewItem>
      <errorID>223650d7-d346-44c4-873c-f04772f7fca6</errorID>
      <errorWord>矿区生态修复</errorWord>
      <group>L1_Political</group>
      <groupName>政治性问题</groupName>
      <ability>L2_Keyword</ability>
      <abilityName>固定表述</abilityName>
      <candidateList>
        <item>矿山生态修复</item>
      </candidateList>
      <explain>词汇“矿山生态修复”在特定场景下为固定表述形式，请确认此处的“矿区生态修复”是否存在不当。</explain>
      <paraID>5BF93BA0</paraID>
      <start>0</start>
      <end>6</end>
      <status>ignored</status>
      <modifiedWord/>
      <trackRevisions>false</trackRevisions>
    </reviewItem>
  </reviewItems>
  <config/>
</contractReview>
</file>

<file path=customXml/itemProps1.xml><?xml version="1.0" encoding="utf-8"?>
<ds:datastoreItem xmlns:ds="http://schemas.openxmlformats.org/officeDocument/2006/customXml" ds:itemID="{410a5d38-68c1-4d0b-9766-be8e82cf9a91}">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Pages>
  <Words>3533</Words>
  <Characters>3762</Characters>
  <Lines>25</Lines>
  <Paragraphs>7</Paragraphs>
  <TotalTime>1</TotalTime>
  <ScaleCrop>false</ScaleCrop>
  <LinksUpToDate>false</LinksUpToDate>
  <CharactersWithSpaces>3791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2026-10-08T07:24:00Z</dcterms:created>
  <dc:creator>PC</dc:creator>
  <cp:lastModifiedBy>Zhou＂</cp:lastModifiedBy>
  <dcterms:modified xsi:type="dcterms:W3CDTF">2026-10-29T06:54:05Z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eyJoZGlkIjoiNmVkY2Y0ZDcyYTdlOGYyOTBiZTA0ZGE3YWVkNmVjYzYiLCJ1c2VySWQiOiI0NTUyOTM1NDgifQ==</vt:lpwstr>
  </property>
  <property fmtid="{D5CDD505-2E9C-101B-9397-08002B2CF9AE}" pid="3" name="KSOProductBuildVer">
    <vt:lpwstr>2052-12.1.0.28505</vt:lpwstr>
  </property>
  <property fmtid="{D5CDD505-2E9C-101B-9397-08002B2CF9AE}" pid="4" name="ICV">
    <vt:lpwstr>38973465018B4B869FC2DE60941605CD_13</vt:lpwstr>
  </property>
</Properties>
</file>