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28E8FB">
      <w:pPr>
        <w:pageBreakBefore w:val="0"/>
        <w:kinsoku/>
        <w:wordWrap/>
        <w:overflowPunct/>
        <w:topLinePunct w:val="0"/>
        <w:bidi w:val="0"/>
        <w:spacing w:before="312" w:beforeLines="100" w:after="312" w:afterLines="100"/>
        <w:ind w:firstLine="0" w:firstLineChars="0"/>
        <w:jc w:val="center"/>
        <w:textAlignment w:val="auto"/>
        <w:rPr>
          <w:rFonts w:eastAsia="仿宋_GB2312"/>
          <w:b/>
          <w:color w:val="000000" w:themeColor="text1"/>
          <w:sz w:val="44"/>
          <w:szCs w:val="44"/>
          <w14:textFill>
            <w14:solidFill>
              <w14:schemeClr w14:val="tx1"/>
            </w14:solidFill>
          </w14:textFill>
        </w:rPr>
      </w:pPr>
      <w:bookmarkStart w:id="0" w:name="OLE_LINK60"/>
      <w:bookmarkStart w:id="1" w:name="OLE_LINK59"/>
      <w:r>
        <w:rPr>
          <w:rFonts w:hint="eastAsia" w:eastAsia="仿宋_GB2312"/>
          <w:b/>
          <w:color w:val="000000" w:themeColor="text1"/>
          <w:sz w:val="44"/>
          <w:szCs w:val="44"/>
          <w:lang w:eastAsia="zh-CN"/>
          <w14:textFill>
            <w14:solidFill>
              <w14:schemeClr w14:val="tx1"/>
            </w14:solidFill>
          </w14:textFill>
        </w:rPr>
        <w:t>禄劝民发建材有限责任公司</w:t>
      </w:r>
      <w:r>
        <w:rPr>
          <w:rFonts w:hint="eastAsia" w:eastAsia="仿宋_GB2312"/>
          <w:b/>
          <w:color w:val="000000" w:themeColor="text1"/>
          <w:sz w:val="44"/>
          <w:szCs w:val="44"/>
          <w14:textFill>
            <w14:solidFill>
              <w14:schemeClr w14:val="tx1"/>
            </w14:solidFill>
          </w14:textFill>
        </w:rPr>
        <w:t>茂龙页岩砖厂</w:t>
      </w:r>
    </w:p>
    <w:p w14:paraId="681C6BED">
      <w:pPr>
        <w:pageBreakBefore w:val="0"/>
        <w:kinsoku/>
        <w:wordWrap/>
        <w:overflowPunct/>
        <w:topLinePunct w:val="0"/>
        <w:bidi w:val="0"/>
        <w:spacing w:before="312" w:beforeLines="100" w:after="312" w:afterLines="100"/>
        <w:ind w:firstLine="0" w:firstLineChars="0"/>
        <w:jc w:val="center"/>
        <w:textAlignment w:val="auto"/>
        <w:rPr>
          <w:rFonts w:eastAsia="仿宋_GB2312"/>
          <w:b/>
          <w:color w:val="000000" w:themeColor="text1"/>
          <w:sz w:val="48"/>
          <w:szCs w:val="48"/>
          <w14:textFill>
            <w14:solidFill>
              <w14:schemeClr w14:val="tx1"/>
            </w14:solidFill>
          </w14:textFill>
        </w:rPr>
      </w:pPr>
      <w:r>
        <w:rPr>
          <w:rFonts w:hint="eastAsia" w:eastAsia="仿宋_GB2312"/>
          <w:b/>
          <w:color w:val="000000" w:themeColor="text1"/>
          <w:sz w:val="48"/>
          <w:szCs w:val="48"/>
          <w14:textFill>
            <w14:solidFill>
              <w14:schemeClr w14:val="tx1"/>
            </w14:solidFill>
          </w14:textFill>
        </w:rPr>
        <w:t>矿区生态修复方案</w:t>
      </w:r>
    </w:p>
    <w:bookmarkEnd w:id="0"/>
    <w:bookmarkEnd w:id="1"/>
    <w:p w14:paraId="2773DABC">
      <w:pPr>
        <w:pageBreakBefore w:val="0"/>
        <w:kinsoku/>
        <w:wordWrap/>
        <w:overflowPunct/>
        <w:topLinePunct w:val="0"/>
        <w:bidi w:val="0"/>
        <w:spacing w:before="312" w:beforeLines="100" w:after="312" w:afterLines="100"/>
        <w:ind w:firstLine="0" w:firstLineChars="0"/>
        <w:jc w:val="center"/>
        <w:textAlignment w:val="auto"/>
        <w:rPr>
          <w:rFonts w:eastAsia="黑体"/>
          <w:color w:val="000000" w:themeColor="text1"/>
          <w:sz w:val="52"/>
          <w:szCs w:val="52"/>
          <w14:textFill>
            <w14:solidFill>
              <w14:schemeClr w14:val="tx1"/>
            </w14:solidFill>
          </w14:textFill>
        </w:rPr>
      </w:pPr>
      <w:r>
        <w:rPr>
          <w:rFonts w:hint="eastAsia" w:eastAsia="黑体"/>
          <w:color w:val="000000" w:themeColor="text1"/>
          <w:sz w:val="52"/>
          <w:szCs w:val="52"/>
          <w14:textFill>
            <w14:solidFill>
              <w14:schemeClr w14:val="tx1"/>
            </w14:solidFill>
          </w14:textFill>
        </w:rPr>
        <w:t>（公示稿）</w:t>
      </w:r>
    </w:p>
    <w:p w14:paraId="4453412E">
      <w:pPr>
        <w:pageBreakBefore w:val="0"/>
        <w:kinsoku/>
        <w:wordWrap/>
        <w:overflowPunct/>
        <w:topLinePunct w:val="0"/>
        <w:bidi w:val="0"/>
        <w:spacing w:before="312" w:beforeLines="100" w:after="312" w:afterLines="100"/>
        <w:ind w:firstLine="0" w:firstLineChars="0"/>
        <w:jc w:val="center"/>
        <w:textAlignment w:val="auto"/>
        <w:rPr>
          <w:rFonts w:eastAsia="黑体"/>
          <w:color w:val="000000" w:themeColor="text1"/>
          <w:sz w:val="52"/>
          <w:szCs w:val="52"/>
          <w14:textFill>
            <w14:solidFill>
              <w14:schemeClr w14:val="tx1"/>
            </w14:solidFill>
          </w14:textFill>
        </w:rPr>
      </w:pPr>
    </w:p>
    <w:p w14:paraId="69F4B95A">
      <w:pPr>
        <w:pageBreakBefore w:val="0"/>
        <w:kinsoku/>
        <w:wordWrap/>
        <w:overflowPunct/>
        <w:topLinePunct w:val="0"/>
        <w:bidi w:val="0"/>
        <w:ind w:firstLine="0" w:firstLineChars="0"/>
        <w:jc w:val="center"/>
        <w:textAlignment w:val="auto"/>
        <w:rPr>
          <w:rFonts w:eastAsia="黑体"/>
          <w:color w:val="000000" w:themeColor="text1"/>
          <w:sz w:val="44"/>
          <w:szCs w:val="44"/>
          <w14:textFill>
            <w14:solidFill>
              <w14:schemeClr w14:val="tx1"/>
            </w14:solidFill>
          </w14:textFill>
        </w:rPr>
      </w:pPr>
    </w:p>
    <w:p w14:paraId="6645B63F">
      <w:pPr>
        <w:pageBreakBefore w:val="0"/>
        <w:kinsoku/>
        <w:wordWrap/>
        <w:overflowPunct/>
        <w:topLinePunct w:val="0"/>
        <w:bidi w:val="0"/>
        <w:ind w:firstLine="0" w:firstLineChars="0"/>
        <w:jc w:val="center"/>
        <w:textAlignment w:val="auto"/>
        <w:rPr>
          <w:rFonts w:eastAsia="黑体"/>
          <w:color w:val="000000" w:themeColor="text1"/>
          <w:sz w:val="44"/>
          <w:szCs w:val="44"/>
          <w14:textFill>
            <w14:solidFill>
              <w14:schemeClr w14:val="tx1"/>
            </w14:solidFill>
          </w14:textFill>
        </w:rPr>
      </w:pPr>
    </w:p>
    <w:p w14:paraId="2C612F10">
      <w:pPr>
        <w:pageBreakBefore w:val="0"/>
        <w:tabs>
          <w:tab w:val="left" w:pos="7311"/>
        </w:tabs>
        <w:kinsoku/>
        <w:wordWrap/>
        <w:overflowPunct/>
        <w:topLinePunct w:val="0"/>
        <w:bidi w:val="0"/>
        <w:ind w:firstLine="0" w:firstLineChars="0"/>
        <w:jc w:val="left"/>
        <w:textAlignment w:val="auto"/>
        <w:rPr>
          <w:rFonts w:eastAsia="黑体"/>
          <w:color w:val="000000" w:themeColor="text1"/>
          <w:sz w:val="44"/>
          <w:szCs w:val="44"/>
          <w14:textFill>
            <w14:solidFill>
              <w14:schemeClr w14:val="tx1"/>
            </w14:solidFill>
          </w14:textFill>
        </w:rPr>
      </w:pPr>
      <w:r>
        <w:rPr>
          <w:rFonts w:hint="eastAsia" w:eastAsia="黑体"/>
          <w:color w:val="000000" w:themeColor="text1"/>
          <w:sz w:val="44"/>
          <w:szCs w:val="44"/>
          <w14:textFill>
            <w14:solidFill>
              <w14:schemeClr w14:val="tx1"/>
            </w14:solidFill>
          </w14:textFill>
        </w:rPr>
        <w:tab/>
      </w:r>
    </w:p>
    <w:p w14:paraId="09A23543">
      <w:pPr>
        <w:pageBreakBefore w:val="0"/>
        <w:kinsoku/>
        <w:wordWrap/>
        <w:overflowPunct/>
        <w:topLinePunct w:val="0"/>
        <w:bidi w:val="0"/>
        <w:ind w:firstLine="0" w:firstLineChars="0"/>
        <w:jc w:val="center"/>
        <w:textAlignment w:val="auto"/>
        <w:rPr>
          <w:rFonts w:eastAsia="黑体"/>
          <w:color w:val="000000" w:themeColor="text1"/>
          <w:sz w:val="44"/>
          <w:szCs w:val="44"/>
          <w14:textFill>
            <w14:solidFill>
              <w14:schemeClr w14:val="tx1"/>
            </w14:solidFill>
          </w14:textFill>
        </w:rPr>
      </w:pPr>
    </w:p>
    <w:p w14:paraId="1BE4C958">
      <w:pPr>
        <w:pageBreakBefore w:val="0"/>
        <w:kinsoku/>
        <w:wordWrap/>
        <w:overflowPunct/>
        <w:topLinePunct w:val="0"/>
        <w:bidi w:val="0"/>
        <w:ind w:firstLine="0" w:firstLineChars="0"/>
        <w:jc w:val="center"/>
        <w:textAlignment w:val="auto"/>
        <w:rPr>
          <w:rFonts w:eastAsia="黑体"/>
          <w:color w:val="000000" w:themeColor="text1"/>
          <w:sz w:val="44"/>
          <w:szCs w:val="44"/>
          <w14:textFill>
            <w14:solidFill>
              <w14:schemeClr w14:val="tx1"/>
            </w14:solidFill>
          </w14:textFill>
        </w:rPr>
      </w:pPr>
    </w:p>
    <w:p w14:paraId="20639629">
      <w:pPr>
        <w:pageBreakBefore w:val="0"/>
        <w:kinsoku/>
        <w:wordWrap/>
        <w:overflowPunct/>
        <w:topLinePunct w:val="0"/>
        <w:bidi w:val="0"/>
        <w:ind w:firstLine="0" w:firstLineChars="0"/>
        <w:jc w:val="center"/>
        <w:textAlignment w:val="auto"/>
        <w:rPr>
          <w:rFonts w:eastAsia="黑体"/>
          <w:color w:val="000000" w:themeColor="text1"/>
          <w:sz w:val="44"/>
          <w:szCs w:val="44"/>
          <w14:textFill>
            <w14:solidFill>
              <w14:schemeClr w14:val="tx1"/>
            </w14:solidFill>
          </w14:textFill>
        </w:rPr>
      </w:pPr>
    </w:p>
    <w:p w14:paraId="6058FF1C">
      <w:pPr>
        <w:pageBreakBefore w:val="0"/>
        <w:kinsoku/>
        <w:wordWrap/>
        <w:overflowPunct/>
        <w:topLinePunct w:val="0"/>
        <w:bidi w:val="0"/>
        <w:ind w:firstLine="0" w:firstLineChars="0"/>
        <w:jc w:val="center"/>
        <w:textAlignment w:val="auto"/>
        <w:rPr>
          <w:rFonts w:eastAsia="黑体"/>
          <w:color w:val="000000" w:themeColor="text1"/>
          <w:sz w:val="44"/>
          <w:szCs w:val="44"/>
          <w14:textFill>
            <w14:solidFill>
              <w14:schemeClr w14:val="tx1"/>
            </w14:solidFill>
          </w14:textFill>
        </w:rPr>
      </w:pPr>
    </w:p>
    <w:p w14:paraId="11914BFE">
      <w:pPr>
        <w:pageBreakBefore w:val="0"/>
        <w:kinsoku/>
        <w:wordWrap/>
        <w:overflowPunct/>
        <w:topLinePunct w:val="0"/>
        <w:bidi w:val="0"/>
        <w:ind w:firstLine="0" w:firstLineChars="0"/>
        <w:jc w:val="center"/>
        <w:textAlignment w:val="auto"/>
        <w:rPr>
          <w:rFonts w:eastAsia="黑体"/>
          <w:color w:val="000000" w:themeColor="text1"/>
          <w:sz w:val="44"/>
          <w:szCs w:val="44"/>
          <w14:textFill>
            <w14:solidFill>
              <w14:schemeClr w14:val="tx1"/>
            </w14:solidFill>
          </w14:textFill>
        </w:rPr>
      </w:pPr>
    </w:p>
    <w:p w14:paraId="41E935A7">
      <w:pPr>
        <w:pageBreakBefore w:val="0"/>
        <w:kinsoku/>
        <w:wordWrap/>
        <w:overflowPunct/>
        <w:topLinePunct w:val="0"/>
        <w:bidi w:val="0"/>
        <w:ind w:firstLine="0" w:firstLineChars="0"/>
        <w:jc w:val="center"/>
        <w:textAlignment w:val="auto"/>
        <w:rPr>
          <w:rFonts w:eastAsia="黑体"/>
          <w:color w:val="000000" w:themeColor="text1"/>
          <w:sz w:val="44"/>
          <w:szCs w:val="44"/>
          <w14:textFill>
            <w14:solidFill>
              <w14:schemeClr w14:val="tx1"/>
            </w14:solidFill>
          </w14:textFill>
        </w:rPr>
      </w:pPr>
    </w:p>
    <w:p w14:paraId="00617F9A">
      <w:pPr>
        <w:pageBreakBefore w:val="0"/>
        <w:kinsoku/>
        <w:wordWrap/>
        <w:overflowPunct/>
        <w:topLinePunct w:val="0"/>
        <w:bidi w:val="0"/>
        <w:ind w:firstLine="0" w:firstLineChars="0"/>
        <w:jc w:val="center"/>
        <w:textAlignment w:val="auto"/>
        <w:rPr>
          <w:rFonts w:eastAsia="黑体"/>
          <w:color w:val="000000" w:themeColor="text1"/>
          <w:sz w:val="44"/>
          <w:szCs w:val="44"/>
          <w14:textFill>
            <w14:solidFill>
              <w14:schemeClr w14:val="tx1"/>
            </w14:solidFill>
          </w14:textFill>
        </w:rPr>
      </w:pPr>
    </w:p>
    <w:p w14:paraId="32857951">
      <w:pPr>
        <w:pageBreakBefore w:val="0"/>
        <w:kinsoku/>
        <w:wordWrap/>
        <w:overflowPunct/>
        <w:topLinePunct w:val="0"/>
        <w:bidi w:val="0"/>
        <w:ind w:firstLine="0" w:firstLineChars="0"/>
        <w:textAlignment w:val="auto"/>
        <w:rPr>
          <w:rFonts w:eastAsia="黑体"/>
          <w:color w:val="000000" w:themeColor="text1"/>
          <w:sz w:val="44"/>
          <w:szCs w:val="44"/>
          <w14:textFill>
            <w14:solidFill>
              <w14:schemeClr w14:val="tx1"/>
            </w14:solidFill>
          </w14:textFill>
        </w:rPr>
      </w:pPr>
    </w:p>
    <w:p w14:paraId="456EA9C9">
      <w:pPr>
        <w:pageBreakBefore w:val="0"/>
        <w:kinsoku/>
        <w:wordWrap/>
        <w:overflowPunct/>
        <w:topLinePunct w:val="0"/>
        <w:bidi w:val="0"/>
        <w:ind w:firstLine="0" w:firstLineChars="0"/>
        <w:jc w:val="center"/>
        <w:textAlignment w:val="auto"/>
        <w:rPr>
          <w:rFonts w:hint="eastAsia" w:eastAsia="黑体"/>
          <w:color w:val="000000" w:themeColor="text1"/>
          <w:sz w:val="44"/>
          <w:szCs w:val="44"/>
          <w:lang w:eastAsia="zh-CN"/>
          <w14:textFill>
            <w14:solidFill>
              <w14:schemeClr w14:val="tx1"/>
            </w14:solidFill>
          </w14:textFill>
        </w:rPr>
      </w:pPr>
    </w:p>
    <w:p w14:paraId="4A160569">
      <w:pPr>
        <w:pageBreakBefore w:val="0"/>
        <w:kinsoku/>
        <w:wordWrap/>
        <w:overflowPunct/>
        <w:topLinePunct w:val="0"/>
        <w:bidi w:val="0"/>
        <w:ind w:firstLine="0" w:firstLineChars="0"/>
        <w:jc w:val="center"/>
        <w:textAlignment w:val="auto"/>
        <w:rPr>
          <w:rFonts w:hint="eastAsia" w:eastAsia="宋体"/>
          <w:color w:val="000000" w:themeColor="text1"/>
          <w:sz w:val="44"/>
          <w:szCs w:val="44"/>
          <w:lang w:eastAsia="zh-CN"/>
          <w14:textFill>
            <w14:solidFill>
              <w14:schemeClr w14:val="tx1"/>
            </w14:solidFill>
          </w14:textFill>
        </w:rPr>
      </w:pPr>
      <w:r>
        <w:rPr>
          <w:rFonts w:hint="eastAsia"/>
          <w:color w:val="000000" w:themeColor="text1"/>
          <w:sz w:val="44"/>
          <w:szCs w:val="44"/>
          <w:lang w:eastAsia="zh-CN"/>
          <w14:textFill>
            <w14:solidFill>
              <w14:schemeClr w14:val="tx1"/>
            </w14:solidFill>
          </w14:textFill>
        </w:rPr>
        <w:t>禄劝民发建材有限责任公司</w:t>
      </w:r>
    </w:p>
    <w:p w14:paraId="6F4D1F72">
      <w:pPr>
        <w:pageBreakBefore w:val="0"/>
        <w:kinsoku/>
        <w:wordWrap/>
        <w:overflowPunct/>
        <w:topLinePunct w:val="0"/>
        <w:bidi w:val="0"/>
        <w:ind w:firstLine="0" w:firstLineChars="0"/>
        <w:jc w:val="center"/>
        <w:textAlignment w:val="auto"/>
        <w:rPr>
          <w:color w:val="000000" w:themeColor="text1"/>
          <w:sz w:val="44"/>
          <w:szCs w:val="44"/>
          <w14:textFill>
            <w14:solidFill>
              <w14:schemeClr w14:val="tx1"/>
            </w14:solidFill>
          </w14:textFill>
        </w:rPr>
        <w:sectPr>
          <w:headerReference r:id="rId7" w:type="first"/>
          <w:footerReference r:id="rId10" w:type="first"/>
          <w:headerReference r:id="rId5" w:type="default"/>
          <w:footerReference r:id="rId8" w:type="default"/>
          <w:headerReference r:id="rId6" w:type="even"/>
          <w:footerReference r:id="rId9" w:type="even"/>
          <w:pgSz w:w="11906" w:h="16838"/>
          <w:pgMar w:top="1213" w:right="1689" w:bottom="1157" w:left="1689" w:header="851" w:footer="992" w:gutter="0"/>
          <w:cols w:space="0" w:num="1"/>
          <w:titlePg/>
          <w:docGrid w:type="lines" w:linePitch="312" w:charSpace="0"/>
        </w:sectPr>
      </w:pPr>
      <w:r>
        <w:rPr>
          <w:color w:val="000000" w:themeColor="text1"/>
          <w:sz w:val="44"/>
          <w:szCs w:val="44"/>
          <w14:textFill>
            <w14:solidFill>
              <w14:schemeClr w14:val="tx1"/>
            </w14:solidFill>
          </w14:textFill>
        </w:rPr>
        <w:t>20</w:t>
      </w:r>
      <w:r>
        <w:rPr>
          <w:rFonts w:hint="eastAsia"/>
          <w:color w:val="000000" w:themeColor="text1"/>
          <w:sz w:val="44"/>
          <w:szCs w:val="44"/>
          <w14:textFill>
            <w14:solidFill>
              <w14:schemeClr w14:val="tx1"/>
            </w14:solidFill>
          </w14:textFill>
        </w:rPr>
        <w:t>26年</w:t>
      </w:r>
      <w:r>
        <w:rPr>
          <w:rFonts w:hint="eastAsia"/>
          <w:color w:val="000000" w:themeColor="text1"/>
          <w:sz w:val="44"/>
          <w:szCs w:val="44"/>
          <w:lang w:val="en-US" w:eastAsia="zh-CN"/>
          <w14:textFill>
            <w14:solidFill>
              <w14:schemeClr w14:val="tx1"/>
            </w14:solidFill>
          </w14:textFill>
        </w:rPr>
        <w:t>9</w:t>
      </w:r>
      <w:r>
        <w:rPr>
          <w:rFonts w:hint="eastAsia"/>
          <w:color w:val="000000" w:themeColor="text1"/>
          <w:sz w:val="44"/>
          <w:szCs w:val="44"/>
          <w14:textFill>
            <w14:solidFill>
              <w14:schemeClr w14:val="tx1"/>
            </w14:solidFill>
          </w14:textFill>
        </w:rPr>
        <w:t>月</w:t>
      </w:r>
    </w:p>
    <w:p w14:paraId="707056F1">
      <w:pPr>
        <w:pStyle w:val="18"/>
        <w:pageBreakBefore w:val="0"/>
        <w:kinsoku/>
        <w:wordWrap/>
        <w:overflowPunct/>
        <w:topLinePunct w:val="0"/>
        <w:bidi w:val="0"/>
        <w:spacing w:beforeLines="0" w:after="0"/>
        <w:ind w:left="482" w:hanging="482" w:firstLineChars="0"/>
        <w:textAlignment w:val="auto"/>
        <w:rPr>
          <w:rFonts w:ascii="Times New Roman" w:hAnsi="Times New Roman" w:eastAsia="黑体" w:cs="Times New Roman"/>
          <w:b w:val="0"/>
          <w:szCs w:val="32"/>
          <w:lang w:eastAsia="zh-CN"/>
        </w:rPr>
      </w:pPr>
      <w:r>
        <w:rPr>
          <w:rFonts w:hint="eastAsia" w:ascii="Times New Roman" w:hAnsi="Times New Roman" w:eastAsia="黑体" w:cs="Times New Roman"/>
          <w:b w:val="0"/>
          <w:szCs w:val="32"/>
          <w:lang w:eastAsia="zh-CN"/>
        </w:rPr>
        <w:t>第一部分  编制背景</w:t>
      </w:r>
    </w:p>
    <w:p w14:paraId="4DACFD09">
      <w:pPr>
        <w:pStyle w:val="3"/>
        <w:pageBreakBefore w:val="0"/>
        <w:kinsoku/>
        <w:wordWrap/>
        <w:overflowPunct/>
        <w:topLinePunct w:val="0"/>
        <w:bidi w:val="0"/>
        <w:spacing w:before="156" w:beforeLines="50" w:after="60" w:line="360" w:lineRule="auto"/>
        <w:ind w:firstLine="640" w:firstLineChars="200"/>
        <w:jc w:val="both"/>
        <w:textAlignment w:val="auto"/>
        <w:rPr>
          <w:rFonts w:hint="eastAsia" w:ascii="宋体" w:hAnsi="宋体" w:eastAsia="宋体" w:cs="宋体"/>
          <w:b/>
          <w:bCs/>
          <w:color w:val="000000" w:themeColor="text1"/>
          <w:sz w:val="32"/>
          <w:szCs w:val="32"/>
          <w:lang w:eastAsia="zh-CN"/>
          <w14:textFill>
            <w14:solidFill>
              <w14:schemeClr w14:val="tx1"/>
            </w14:solidFill>
          </w14:textFill>
        </w:rPr>
      </w:pPr>
      <w:r>
        <w:rPr>
          <w:rFonts w:hint="eastAsia" w:ascii="黑体" w:hAnsi="黑体" w:cs="黑体"/>
          <w:b w:val="0"/>
          <w:bCs w:val="0"/>
          <w:kern w:val="0"/>
          <w:sz w:val="32"/>
        </w:rPr>
        <w:t>一、编制</w:t>
      </w:r>
      <w:r>
        <w:rPr>
          <w:rFonts w:hint="eastAsia" w:ascii="黑体" w:hAnsi="黑体" w:cs="黑体"/>
          <w:b w:val="0"/>
          <w:bCs w:val="0"/>
          <w:kern w:val="0"/>
          <w:sz w:val="32"/>
          <w:lang w:val="en-US" w:eastAsia="zh-CN"/>
        </w:rPr>
        <w:t>背景</w:t>
      </w:r>
    </w:p>
    <w:p w14:paraId="0C9FDB65">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bCs/>
          <w:kern w:val="2"/>
          <w:sz w:val="32"/>
          <w:szCs w:val="32"/>
          <w:lang w:val="en-US" w:eastAsia="zh-CN" w:bidi="ar-SA"/>
        </w:rPr>
      </w:pPr>
      <w:r>
        <w:rPr>
          <w:rFonts w:hint="eastAsia" w:eastAsia="仿宋_GB2312" w:cs="Times New Roman"/>
          <w:bCs/>
          <w:kern w:val="2"/>
          <w:sz w:val="32"/>
          <w:szCs w:val="32"/>
          <w:lang w:val="en-US" w:eastAsia="zh-CN" w:bidi="ar-SA"/>
        </w:rPr>
        <w:t>禄劝民发建材有限责任公司</w:t>
      </w:r>
      <w:r>
        <w:rPr>
          <w:rFonts w:hint="eastAsia" w:ascii="Times New Roman" w:hAnsi="Times New Roman" w:eastAsia="仿宋_GB2312" w:cs="Times New Roman"/>
          <w:bCs/>
          <w:kern w:val="2"/>
          <w:sz w:val="32"/>
          <w:szCs w:val="32"/>
          <w:lang w:val="en-US" w:eastAsia="zh-CN" w:bidi="ar-SA"/>
        </w:rPr>
        <w:t>茂龙页岩砖厂</w:t>
      </w:r>
      <w:r>
        <w:rPr>
          <w:rFonts w:hint="eastAsia" w:eastAsia="仿宋_GB2312" w:cs="Times New Roman"/>
          <w:bCs/>
          <w:kern w:val="2"/>
          <w:sz w:val="32"/>
          <w:szCs w:val="32"/>
          <w:lang w:val="en-US" w:eastAsia="zh-CN" w:bidi="ar-SA"/>
        </w:rPr>
        <w:t>，由禄劝民发建材有限责任公司通过招拍挂方式取得，</w:t>
      </w:r>
      <w:r>
        <w:rPr>
          <w:rFonts w:hint="eastAsia" w:ascii="Times New Roman" w:hAnsi="Times New Roman" w:eastAsia="仿宋_GB2312" w:cs="Times New Roman"/>
          <w:bCs/>
          <w:kern w:val="2"/>
          <w:sz w:val="32"/>
          <w:szCs w:val="32"/>
          <w:lang w:val="en-US" w:eastAsia="zh-CN" w:bidi="ar-SA"/>
        </w:rPr>
        <w:t>茂龙页岩砖厂矿山采矿许可证证号：**************，矿山名称：</w:t>
      </w:r>
      <w:r>
        <w:rPr>
          <w:rFonts w:hint="eastAsia" w:eastAsia="仿宋_GB2312" w:cs="Times New Roman"/>
          <w:bCs/>
          <w:kern w:val="2"/>
          <w:sz w:val="32"/>
          <w:szCs w:val="32"/>
          <w:lang w:val="en-US" w:eastAsia="zh-CN" w:bidi="ar-SA"/>
        </w:rPr>
        <w:t>禄劝民发建材有限责任公司</w:t>
      </w:r>
      <w:r>
        <w:rPr>
          <w:rFonts w:hint="eastAsia" w:ascii="Times New Roman" w:hAnsi="Times New Roman" w:eastAsia="仿宋_GB2312" w:cs="Times New Roman"/>
          <w:bCs/>
          <w:kern w:val="2"/>
          <w:sz w:val="32"/>
          <w:szCs w:val="32"/>
          <w:lang w:val="en-US" w:eastAsia="zh-CN" w:bidi="ar-SA"/>
        </w:rPr>
        <w:t>茂龙页岩砖厂；有效期：</w:t>
      </w:r>
      <w:r>
        <w:rPr>
          <w:rFonts w:hint="eastAsia" w:eastAsia="仿宋_GB2312" w:cs="Times New Roman"/>
          <w:bCs/>
          <w:kern w:val="2"/>
          <w:sz w:val="32"/>
          <w:szCs w:val="32"/>
          <w:lang w:val="en-US" w:eastAsia="zh-CN" w:bidi="ar-SA"/>
        </w:rPr>
        <w:t>伍年（自</w:t>
      </w:r>
      <w:r>
        <w:rPr>
          <w:rFonts w:hint="eastAsia" w:ascii="Times New Roman" w:hAnsi="Times New Roman" w:eastAsia="仿宋_GB2312" w:cs="Times New Roman"/>
          <w:bCs/>
          <w:kern w:val="2"/>
          <w:sz w:val="32"/>
          <w:szCs w:val="32"/>
          <w:lang w:val="en-US" w:eastAsia="zh-CN" w:bidi="ar-SA"/>
        </w:rPr>
        <w:t>201</w:t>
      </w:r>
      <w:r>
        <w:rPr>
          <w:rFonts w:hint="eastAsia" w:eastAsia="仿宋_GB2312" w:cs="Times New Roman"/>
          <w:bCs/>
          <w:kern w:val="2"/>
          <w:sz w:val="32"/>
          <w:szCs w:val="32"/>
          <w:lang w:val="en-US" w:eastAsia="zh-CN" w:bidi="ar-SA"/>
        </w:rPr>
        <w:t>6</w:t>
      </w:r>
      <w:r>
        <w:rPr>
          <w:rFonts w:hint="eastAsia" w:ascii="Times New Roman" w:hAnsi="Times New Roman" w:eastAsia="仿宋_GB2312" w:cs="Times New Roman"/>
          <w:bCs/>
          <w:kern w:val="2"/>
          <w:sz w:val="32"/>
          <w:szCs w:val="32"/>
          <w:lang w:val="en-US" w:eastAsia="zh-CN" w:bidi="ar-SA"/>
        </w:rPr>
        <w:t>年</w:t>
      </w:r>
      <w:r>
        <w:rPr>
          <w:rFonts w:hint="eastAsia" w:eastAsia="仿宋_GB2312" w:cs="Times New Roman"/>
          <w:bCs/>
          <w:kern w:val="2"/>
          <w:sz w:val="32"/>
          <w:szCs w:val="32"/>
          <w:lang w:val="en-US" w:eastAsia="zh-CN" w:bidi="ar-SA"/>
        </w:rPr>
        <w:t>6</w:t>
      </w:r>
      <w:r>
        <w:rPr>
          <w:rFonts w:hint="eastAsia" w:ascii="Times New Roman" w:hAnsi="Times New Roman" w:eastAsia="仿宋_GB2312" w:cs="Times New Roman"/>
          <w:bCs/>
          <w:kern w:val="2"/>
          <w:sz w:val="32"/>
          <w:szCs w:val="32"/>
          <w:lang w:val="en-US" w:eastAsia="zh-CN" w:bidi="ar-SA"/>
        </w:rPr>
        <w:t>月</w:t>
      </w:r>
      <w:r>
        <w:rPr>
          <w:rFonts w:hint="eastAsia" w:eastAsia="仿宋_GB2312" w:cs="Times New Roman"/>
          <w:bCs/>
          <w:kern w:val="2"/>
          <w:sz w:val="32"/>
          <w:szCs w:val="32"/>
          <w:lang w:val="en-US" w:eastAsia="zh-CN" w:bidi="ar-SA"/>
        </w:rPr>
        <w:t>12</w:t>
      </w:r>
      <w:r>
        <w:rPr>
          <w:rFonts w:hint="eastAsia" w:ascii="Times New Roman" w:hAnsi="Times New Roman" w:eastAsia="仿宋_GB2312" w:cs="Times New Roman"/>
          <w:bCs/>
          <w:kern w:val="2"/>
          <w:sz w:val="32"/>
          <w:szCs w:val="32"/>
          <w:lang w:val="en-US" w:eastAsia="zh-CN" w:bidi="ar-SA"/>
        </w:rPr>
        <w:t>日</w:t>
      </w:r>
      <w:r>
        <w:rPr>
          <w:rFonts w:hint="eastAsia" w:eastAsia="仿宋_GB2312" w:cs="Times New Roman"/>
          <w:bCs/>
          <w:kern w:val="2"/>
          <w:sz w:val="32"/>
          <w:szCs w:val="32"/>
          <w:lang w:val="en-US" w:eastAsia="zh-CN" w:bidi="ar-SA"/>
        </w:rPr>
        <w:t>至</w:t>
      </w:r>
      <w:r>
        <w:rPr>
          <w:rFonts w:hint="eastAsia" w:ascii="Times New Roman" w:hAnsi="Times New Roman" w:eastAsia="仿宋_GB2312" w:cs="Times New Roman"/>
          <w:bCs/>
          <w:kern w:val="2"/>
          <w:sz w:val="32"/>
          <w:szCs w:val="32"/>
          <w:lang w:val="en-US" w:eastAsia="zh-CN" w:bidi="ar-SA"/>
        </w:rPr>
        <w:t>20</w:t>
      </w:r>
      <w:r>
        <w:rPr>
          <w:rFonts w:hint="eastAsia" w:eastAsia="仿宋_GB2312" w:cs="Times New Roman"/>
          <w:bCs/>
          <w:kern w:val="2"/>
          <w:sz w:val="32"/>
          <w:szCs w:val="32"/>
          <w:lang w:val="en-US" w:eastAsia="zh-CN" w:bidi="ar-SA"/>
        </w:rPr>
        <w:t>21</w:t>
      </w:r>
      <w:r>
        <w:rPr>
          <w:rFonts w:hint="eastAsia" w:ascii="Times New Roman" w:hAnsi="Times New Roman" w:eastAsia="仿宋_GB2312" w:cs="Times New Roman"/>
          <w:bCs/>
          <w:kern w:val="2"/>
          <w:sz w:val="32"/>
          <w:szCs w:val="32"/>
          <w:lang w:val="en-US" w:eastAsia="zh-CN" w:bidi="ar-SA"/>
        </w:rPr>
        <w:t>年</w:t>
      </w:r>
      <w:r>
        <w:rPr>
          <w:rFonts w:hint="eastAsia" w:eastAsia="仿宋_GB2312" w:cs="Times New Roman"/>
          <w:bCs/>
          <w:kern w:val="2"/>
          <w:sz w:val="32"/>
          <w:szCs w:val="32"/>
          <w:lang w:val="en-US" w:eastAsia="zh-CN" w:bidi="ar-SA"/>
        </w:rPr>
        <w:t>6</w:t>
      </w:r>
      <w:r>
        <w:rPr>
          <w:rFonts w:hint="eastAsia" w:ascii="Times New Roman" w:hAnsi="Times New Roman" w:eastAsia="仿宋_GB2312" w:cs="Times New Roman"/>
          <w:bCs/>
          <w:kern w:val="2"/>
          <w:sz w:val="32"/>
          <w:szCs w:val="32"/>
          <w:lang w:val="en-US" w:eastAsia="zh-CN" w:bidi="ar-SA"/>
        </w:rPr>
        <w:t>月1</w:t>
      </w:r>
      <w:r>
        <w:rPr>
          <w:rFonts w:hint="eastAsia" w:eastAsia="仿宋_GB2312" w:cs="Times New Roman"/>
          <w:bCs/>
          <w:kern w:val="2"/>
          <w:sz w:val="32"/>
          <w:szCs w:val="32"/>
          <w:lang w:val="en-US" w:eastAsia="zh-CN" w:bidi="ar-SA"/>
        </w:rPr>
        <w:t>2</w:t>
      </w:r>
      <w:r>
        <w:rPr>
          <w:rFonts w:hint="eastAsia" w:ascii="Times New Roman" w:hAnsi="Times New Roman" w:eastAsia="仿宋_GB2312" w:cs="Times New Roman"/>
          <w:bCs/>
          <w:kern w:val="2"/>
          <w:sz w:val="32"/>
          <w:szCs w:val="32"/>
          <w:lang w:val="en-US" w:eastAsia="zh-CN" w:bidi="ar-SA"/>
        </w:rPr>
        <w:t>日</w:t>
      </w:r>
      <w:r>
        <w:rPr>
          <w:rFonts w:hint="eastAsia" w:eastAsia="仿宋_GB2312" w:cs="Times New Roman"/>
          <w:bCs/>
          <w:kern w:val="2"/>
          <w:sz w:val="32"/>
          <w:szCs w:val="32"/>
          <w:lang w:val="en-US" w:eastAsia="zh-CN" w:bidi="ar-SA"/>
        </w:rPr>
        <w:t>）</w:t>
      </w:r>
      <w:r>
        <w:rPr>
          <w:rFonts w:hint="eastAsia" w:ascii="Times New Roman" w:hAnsi="Times New Roman" w:eastAsia="仿宋_GB2312" w:cs="Times New Roman"/>
          <w:bCs/>
          <w:kern w:val="2"/>
          <w:sz w:val="32"/>
          <w:szCs w:val="32"/>
          <w:lang w:val="en-US" w:eastAsia="zh-CN" w:bidi="ar-SA"/>
        </w:rPr>
        <w:t>，采矿证由5个拐点圈定，面积为0.0176km</w:t>
      </w:r>
      <w:r>
        <w:rPr>
          <w:rFonts w:hint="eastAsia" w:ascii="Times New Roman" w:hAnsi="Times New Roman" w:eastAsia="仿宋_GB2312" w:cs="Times New Roman"/>
          <w:bCs/>
          <w:kern w:val="2"/>
          <w:sz w:val="32"/>
          <w:szCs w:val="32"/>
          <w:vertAlign w:val="superscript"/>
          <w:lang w:val="en-US" w:eastAsia="zh-CN" w:bidi="ar-SA"/>
        </w:rPr>
        <w:t>2</w:t>
      </w:r>
      <w:r>
        <w:rPr>
          <w:rFonts w:hint="eastAsia" w:ascii="Times New Roman" w:hAnsi="Times New Roman" w:eastAsia="仿宋_GB2312" w:cs="Times New Roman"/>
          <w:bCs/>
          <w:kern w:val="2"/>
          <w:sz w:val="32"/>
          <w:szCs w:val="32"/>
          <w:lang w:val="en-US" w:eastAsia="zh-CN" w:bidi="ar-SA"/>
        </w:rPr>
        <w:t>，开采规模为**万t/年，开采标高****-****m。该采矿权已过有效期。</w:t>
      </w:r>
    </w:p>
    <w:p w14:paraId="01F179A4">
      <w:pPr>
        <w:pageBreakBefore w:val="0"/>
        <w:kinsoku/>
        <w:wordWrap/>
        <w:overflowPunct/>
        <w:topLinePunct w:val="0"/>
        <w:autoSpaceDE w:val="0"/>
        <w:autoSpaceDN w:val="0"/>
        <w:bidi w:val="0"/>
        <w:ind w:firstLine="560"/>
        <w:textAlignment w:val="auto"/>
        <w:rPr>
          <w:rFonts w:hint="default" w:ascii="Times New Roman" w:hAnsi="Times New Roman" w:eastAsia="仿宋_GB2312" w:cs="Times New Roman"/>
          <w:bCs/>
          <w:kern w:val="2"/>
          <w:sz w:val="32"/>
          <w:szCs w:val="32"/>
          <w:lang w:val="en-US" w:eastAsia="zh-CN" w:bidi="ar-SA"/>
        </w:rPr>
      </w:pPr>
      <w:r>
        <w:rPr>
          <w:rFonts w:hint="eastAsia" w:eastAsia="仿宋_GB2312" w:cs="Times New Roman"/>
          <w:bCs/>
          <w:kern w:val="2"/>
          <w:sz w:val="32"/>
          <w:szCs w:val="32"/>
          <w:lang w:val="en-US" w:eastAsia="zh-CN" w:bidi="ar-SA"/>
        </w:rPr>
        <w:t>禄劝民发建材有限责任公司</w:t>
      </w:r>
      <w:r>
        <w:rPr>
          <w:rFonts w:hint="eastAsia" w:ascii="Times New Roman" w:hAnsi="Times New Roman" w:eastAsia="仿宋_GB2312" w:cs="Times New Roman"/>
          <w:bCs/>
          <w:kern w:val="2"/>
          <w:sz w:val="32"/>
          <w:szCs w:val="32"/>
          <w:lang w:val="en-US" w:eastAsia="zh-CN" w:bidi="ar-SA"/>
        </w:rPr>
        <w:t>茂龙页岩砖厂，首次设立时间为2011年2月，2016年办理了采矿权延续手续，现采矿许可证已过期，矿山于2010年1月和2010年6月分别编制完成了《云南省禄劝彝族苗族自治县茂龙页岩砖厂普通建筑材料用页岩矿地质勘查报告（2010年）》和《云南省禄劝彝族苗族自治县茂龙页岩砖厂普通建筑材料用页岩矿矿产资源开发利用方案》。根据2010年6月开发利用方案，矿山服务年限为11年2个月；根据“过期审查意见”，矿山自2021年至今未开采，本次矿区生态修复方案仍以2010年完成的储量核实报告和开发利用方案为依据。</w:t>
      </w:r>
    </w:p>
    <w:p w14:paraId="10780A50">
      <w:pPr>
        <w:pageBreakBefore w:val="0"/>
        <w:kinsoku/>
        <w:wordWrap/>
        <w:overflowPunct/>
        <w:topLinePunct w:val="0"/>
        <w:autoSpaceDE w:val="0"/>
        <w:autoSpaceDN w:val="0"/>
        <w:bidi w:val="0"/>
        <w:ind w:firstLine="560"/>
        <w:textAlignment w:val="auto"/>
        <w:rPr>
          <w:rFonts w:hint="eastAsia" w:eastAsia="仿宋_GB2312" w:cs="Times New Roman"/>
          <w:bCs/>
          <w:kern w:val="2"/>
          <w:sz w:val="32"/>
          <w:szCs w:val="32"/>
          <w:lang w:val="en-US" w:eastAsia="zh-CN" w:bidi="ar-SA"/>
        </w:rPr>
      </w:pPr>
      <w:r>
        <w:rPr>
          <w:rFonts w:hint="eastAsia" w:ascii="Times New Roman" w:hAnsi="Times New Roman" w:eastAsia="仿宋_GB2312" w:cs="Times New Roman"/>
          <w:bCs/>
          <w:kern w:val="2"/>
          <w:sz w:val="32"/>
          <w:szCs w:val="32"/>
          <w:lang w:val="en-US" w:eastAsia="zh-CN" w:bidi="ar-SA"/>
        </w:rPr>
        <w:t>根据收集资料，矿山于2010年9月委托云南省地矿局地球物理地球化学勘查院编制并备案了《云南省禄劝彝族苗族自治县茂龙页岩砖厂普通建筑材料用页岩矿矿山地质环境保护与综合治理方案》，矿山于2014年委托昆明腾鸿科技咨询有限公司编制并备案了《云南省禄劝彝族苗族自治县茂龙页岩砖厂普通建筑材料用页岩矿土地复垦方案》；根据收集资料及现场调查，矿山已根据2014年方案缴存了土地复垦费用13.58万元（见土地复垦费用存款单）</w:t>
      </w:r>
      <w:r>
        <w:rPr>
          <w:rFonts w:hint="eastAsia" w:eastAsia="仿宋_GB2312" w:cs="Times New Roman"/>
          <w:bCs/>
          <w:kern w:val="2"/>
          <w:sz w:val="32"/>
          <w:szCs w:val="32"/>
          <w:lang w:val="en-US" w:eastAsia="zh-CN" w:bidi="ar-SA"/>
        </w:rPr>
        <w:t>。</w:t>
      </w:r>
    </w:p>
    <w:p w14:paraId="0ED0B643">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bCs/>
          <w:kern w:val="2"/>
          <w:sz w:val="32"/>
          <w:szCs w:val="32"/>
          <w:lang w:val="en-US" w:eastAsia="zh-CN" w:bidi="ar-SA"/>
        </w:rPr>
      </w:pPr>
      <w:r>
        <w:rPr>
          <w:rFonts w:hint="eastAsia" w:ascii="Times New Roman" w:hAnsi="Times New Roman" w:eastAsia="仿宋_GB2312" w:cs="Times New Roman"/>
          <w:bCs/>
          <w:kern w:val="2"/>
          <w:sz w:val="32"/>
          <w:szCs w:val="32"/>
          <w:lang w:val="en-US" w:eastAsia="zh-CN" w:bidi="ar-SA"/>
        </w:rPr>
        <w:t>据调查矿山编制的两个方案为单独编制，上述两个方案到期后由于矿山企业及政策原因未编制过合并方案。根据两个方案开展相关复垦工作，但未能形成系统的综合防治效果，防治措施往往存在较大的重复施工现象。缺乏科学合理的设计依据，局部存在较大的地质灾害隐患。原方案规划的恢复治理工程、土地复垦措施等至今均未实施。</w:t>
      </w:r>
    </w:p>
    <w:p w14:paraId="03B7F2DF">
      <w:pPr>
        <w:pStyle w:val="3"/>
        <w:pageBreakBefore w:val="0"/>
        <w:kinsoku/>
        <w:wordWrap/>
        <w:overflowPunct/>
        <w:topLinePunct w:val="0"/>
        <w:bidi w:val="0"/>
        <w:spacing w:before="156" w:beforeLines="50" w:after="60" w:line="360" w:lineRule="auto"/>
        <w:ind w:firstLine="640" w:firstLineChars="200"/>
        <w:jc w:val="both"/>
        <w:textAlignment w:val="auto"/>
        <w:rPr>
          <w:rFonts w:hint="eastAsia" w:ascii="黑体" w:hAnsi="黑体" w:cs="黑体"/>
          <w:b w:val="0"/>
          <w:bCs w:val="0"/>
          <w:kern w:val="0"/>
          <w:sz w:val="32"/>
          <w:lang w:val="en-US" w:eastAsia="zh-CN"/>
        </w:rPr>
      </w:pPr>
      <w:r>
        <w:rPr>
          <w:rFonts w:hint="eastAsia" w:ascii="黑体" w:hAnsi="黑体" w:cs="黑体"/>
          <w:b w:val="0"/>
          <w:bCs w:val="0"/>
          <w:kern w:val="0"/>
          <w:sz w:val="32"/>
          <w:lang w:val="en-US" w:eastAsia="zh-CN"/>
        </w:rPr>
        <w:t>二、编制目的</w:t>
      </w:r>
    </w:p>
    <w:p w14:paraId="327F5F45">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bCs/>
          <w:kern w:val="2"/>
          <w:sz w:val="32"/>
          <w:szCs w:val="32"/>
          <w:lang w:val="en-US" w:eastAsia="zh-CN" w:bidi="ar-SA"/>
        </w:rPr>
      </w:pPr>
      <w:bookmarkStart w:id="2" w:name="_Toc197614992"/>
      <w:r>
        <w:rPr>
          <w:rFonts w:hint="eastAsia" w:ascii="Times New Roman" w:hAnsi="Times New Roman" w:eastAsia="仿宋_GB2312" w:cs="Times New Roman"/>
          <w:bCs/>
          <w:kern w:val="2"/>
          <w:sz w:val="32"/>
          <w:szCs w:val="32"/>
          <w:lang w:val="en-US" w:eastAsia="zh-CN" w:bidi="ar-SA"/>
        </w:rPr>
        <w:t>本方案旨在通过系统开展矿区生态环境现状调查、问题识别与诊断，结合矿产资源开采全流程（建设、开发、闭坑阶段），制定科学适配的生态保护修复总体部署与技术方案。核心目标为修复受损生态系统，提升区域植被覆盖度、减少水土流失，保障周边居民生产生活安全与人居环境改善，最大限度降低矿业活动对生态环境的影响；同时落实矿山企业生态保护修复主体责任，为企业开展地质环境恢复治理、地貌重塑、植被重建等工作提供技术支撑，为生态保护修复基金提取、工程验收及监督管理提供合规依据。通过统筹矿产资源合理开发与生态环境保护，实现矿业经济与社会经济可持续发展。</w:t>
      </w:r>
    </w:p>
    <w:p w14:paraId="3755DE76">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bCs/>
          <w:kern w:val="2"/>
          <w:sz w:val="32"/>
          <w:szCs w:val="32"/>
          <w:lang w:val="en-US" w:eastAsia="zh-CN" w:bidi="ar-SA"/>
        </w:rPr>
      </w:pPr>
    </w:p>
    <w:p w14:paraId="21633BA9">
      <w:pPr>
        <w:pStyle w:val="18"/>
        <w:pageBreakBefore w:val="0"/>
        <w:kinsoku/>
        <w:wordWrap/>
        <w:overflowPunct/>
        <w:topLinePunct w:val="0"/>
        <w:bidi w:val="0"/>
        <w:spacing w:beforeLines="0" w:after="0"/>
        <w:ind w:left="482" w:hanging="482" w:firstLineChars="0"/>
        <w:textAlignment w:val="auto"/>
        <w:rPr>
          <w:rFonts w:ascii="宋体" w:hAnsi="宋体" w:cs="宋体"/>
          <w:kern w:val="0"/>
          <w:sz w:val="28"/>
          <w:szCs w:val="22"/>
          <w:lang w:eastAsia="zh-CN"/>
        </w:rPr>
      </w:pPr>
      <w:r>
        <w:rPr>
          <w:rFonts w:hint="eastAsia" w:ascii="Times New Roman" w:hAnsi="Times New Roman" w:eastAsia="黑体" w:cs="Times New Roman"/>
          <w:b w:val="0"/>
          <w:szCs w:val="32"/>
          <w:lang w:val="en-US" w:eastAsia="zh-CN"/>
        </w:rPr>
        <w:t xml:space="preserve">第二部分 </w:t>
      </w:r>
      <w:r>
        <w:rPr>
          <w:rFonts w:hint="eastAsia" w:ascii="Times New Roman" w:hAnsi="Times New Roman" w:eastAsia="黑体" w:cs="Times New Roman"/>
          <w:b w:val="0"/>
          <w:szCs w:val="32"/>
          <w:lang w:eastAsia="zh-CN"/>
        </w:rPr>
        <w:t>矿区生态修复</w:t>
      </w:r>
      <w:r>
        <w:rPr>
          <w:rFonts w:hint="eastAsia" w:ascii="Times New Roman" w:hAnsi="Times New Roman" w:cs="Times New Roman"/>
          <w:b w:val="0"/>
          <w:szCs w:val="32"/>
          <w:lang w:val="en-US" w:eastAsia="zh-CN"/>
        </w:rPr>
        <w:t>报告</w:t>
      </w:r>
      <w:r>
        <w:rPr>
          <w:rFonts w:hint="eastAsia" w:ascii="Times New Roman" w:hAnsi="Times New Roman" w:eastAsia="黑体" w:cs="Times New Roman"/>
          <w:b w:val="0"/>
          <w:szCs w:val="32"/>
          <w:lang w:eastAsia="zh-CN"/>
        </w:rPr>
        <w:t>表</w:t>
      </w:r>
    </w:p>
    <w:tbl>
      <w:tblPr>
        <w:tblStyle w:val="16"/>
        <w:tblW w:w="99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0"/>
        <w:gridCol w:w="1557"/>
        <w:gridCol w:w="1482"/>
        <w:gridCol w:w="2577"/>
        <w:gridCol w:w="1613"/>
        <w:gridCol w:w="807"/>
        <w:gridCol w:w="1412"/>
      </w:tblGrid>
      <w:tr w14:paraId="4563F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500" w:type="dxa"/>
            <w:vMerge w:val="restart"/>
            <w:tcBorders>
              <w:top w:val="single" w:color="000000" w:sz="4" w:space="0"/>
              <w:left w:val="single" w:color="000000" w:sz="4" w:space="0"/>
              <w:bottom w:val="single" w:color="000000" w:sz="4" w:space="0"/>
              <w:right w:val="single" w:color="000000" w:sz="4" w:space="0"/>
            </w:tcBorders>
            <w:vAlign w:val="center"/>
          </w:tcPr>
          <w:p w14:paraId="72782293">
            <w:pPr>
              <w:pageBreakBefore w:val="0"/>
              <w:kinsoku/>
              <w:wordWrap/>
              <w:overflowPunct/>
              <w:topLinePunct w:val="0"/>
              <w:autoSpaceDE w:val="0"/>
              <w:autoSpaceDN w:val="0"/>
              <w:bidi w:val="0"/>
              <w:spacing w:before="72" w:line="240" w:lineRule="atLeast"/>
              <w:ind w:left="95" w:right="116" w:firstLine="0" w:firstLineChars="0"/>
              <w:jc w:val="center"/>
              <w:textAlignment w:val="auto"/>
              <w:rPr>
                <w:rFonts w:ascii="宋体" w:hAnsi="宋体" w:cs="宋体"/>
                <w:kern w:val="0"/>
                <w:sz w:val="24"/>
                <w:szCs w:val="24"/>
                <w:lang w:eastAsia="en-US"/>
              </w:rPr>
            </w:pPr>
            <w:r>
              <w:rPr>
                <w:rFonts w:hint="eastAsia" w:ascii="宋体" w:hAnsi="宋体" w:cs="宋体"/>
                <w:spacing w:val="-4"/>
                <w:kern w:val="0"/>
                <w:sz w:val="24"/>
                <w:szCs w:val="24"/>
                <w:lang w:eastAsia="en-US"/>
              </w:rPr>
              <w:t>采矿权人</w:t>
            </w:r>
            <w:r>
              <w:rPr>
                <w:rFonts w:hint="eastAsia" w:ascii="宋体" w:hAnsi="宋体" w:cs="宋体"/>
                <w:spacing w:val="8"/>
                <w:kern w:val="0"/>
                <w:sz w:val="24"/>
                <w:szCs w:val="24"/>
                <w:lang w:eastAsia="en-US"/>
              </w:rPr>
              <w:t>信息</w:t>
            </w:r>
          </w:p>
        </w:tc>
        <w:tc>
          <w:tcPr>
            <w:tcW w:w="1557" w:type="dxa"/>
            <w:tcBorders>
              <w:top w:val="single" w:color="000000" w:sz="4" w:space="0"/>
              <w:left w:val="single" w:color="000000" w:sz="4" w:space="0"/>
              <w:bottom w:val="single" w:color="000000" w:sz="4" w:space="0"/>
              <w:right w:val="single" w:color="000000" w:sz="4" w:space="0"/>
            </w:tcBorders>
            <w:vAlign w:val="center"/>
          </w:tcPr>
          <w:p w14:paraId="63F012B3">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采矿权人名称</w:t>
            </w:r>
          </w:p>
        </w:tc>
        <w:tc>
          <w:tcPr>
            <w:tcW w:w="7891" w:type="dxa"/>
            <w:gridSpan w:val="5"/>
            <w:tcBorders>
              <w:top w:val="single" w:color="000000" w:sz="4" w:space="0"/>
              <w:left w:val="single" w:color="000000" w:sz="4" w:space="0"/>
              <w:bottom w:val="single" w:color="000000" w:sz="4" w:space="0"/>
              <w:right w:val="single" w:color="000000" w:sz="4" w:space="0"/>
            </w:tcBorders>
            <w:vAlign w:val="center"/>
          </w:tcPr>
          <w:p w14:paraId="4BAE4F1A">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zh-CN"/>
              </w:rPr>
            </w:pPr>
            <w:r>
              <w:rPr>
                <w:rFonts w:hint="eastAsia" w:ascii="宋体" w:hAnsi="宋体" w:cs="宋体"/>
                <w:kern w:val="0"/>
                <w:sz w:val="28"/>
                <w:szCs w:val="20"/>
                <w:lang w:eastAsia="zh-CN"/>
              </w:rPr>
              <w:t>禄劝民发建材有限责任公司</w:t>
            </w:r>
          </w:p>
        </w:tc>
      </w:tr>
      <w:tr w14:paraId="252CC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217DE27A">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zh-CN"/>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7F4496C9">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1"/>
                <w:kern w:val="0"/>
                <w:sz w:val="24"/>
                <w:szCs w:val="24"/>
                <w:lang w:eastAsia="en-US"/>
              </w:rPr>
              <w:t>统一社会信用代码</w:t>
            </w:r>
          </w:p>
        </w:tc>
        <w:tc>
          <w:tcPr>
            <w:tcW w:w="4059" w:type="dxa"/>
            <w:gridSpan w:val="2"/>
            <w:tcBorders>
              <w:top w:val="single" w:color="000000" w:sz="4" w:space="0"/>
              <w:left w:val="single" w:color="000000" w:sz="4" w:space="0"/>
              <w:bottom w:val="single" w:color="000000" w:sz="4" w:space="0"/>
              <w:right w:val="single" w:color="000000" w:sz="4" w:space="0"/>
            </w:tcBorders>
            <w:vAlign w:val="center"/>
          </w:tcPr>
          <w:p w14:paraId="6BBC48DE">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91530128216935016D</w:t>
            </w:r>
          </w:p>
        </w:tc>
        <w:tc>
          <w:tcPr>
            <w:tcW w:w="1613" w:type="dxa"/>
            <w:tcBorders>
              <w:top w:val="single" w:color="000000" w:sz="4" w:space="0"/>
              <w:left w:val="single" w:color="000000" w:sz="4" w:space="0"/>
              <w:bottom w:val="single" w:color="000000" w:sz="4" w:space="0"/>
              <w:right w:val="single" w:color="000000" w:sz="4" w:space="0"/>
            </w:tcBorders>
            <w:vAlign w:val="center"/>
          </w:tcPr>
          <w:p w14:paraId="59DD31FC">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3"/>
                <w:kern w:val="0"/>
                <w:sz w:val="24"/>
                <w:szCs w:val="24"/>
                <w:lang w:eastAsia="en-US"/>
              </w:rPr>
              <w:t>联系人</w:t>
            </w:r>
          </w:p>
        </w:tc>
        <w:tc>
          <w:tcPr>
            <w:tcW w:w="2219" w:type="dxa"/>
            <w:gridSpan w:val="2"/>
            <w:tcBorders>
              <w:top w:val="single" w:color="000000" w:sz="4" w:space="0"/>
              <w:left w:val="single" w:color="000000" w:sz="4" w:space="0"/>
              <w:bottom w:val="single" w:color="000000" w:sz="4" w:space="0"/>
              <w:right w:val="single" w:color="000000" w:sz="4" w:space="0"/>
            </w:tcBorders>
            <w:vAlign w:val="center"/>
          </w:tcPr>
          <w:p w14:paraId="35710969">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w:t>
            </w:r>
          </w:p>
        </w:tc>
      </w:tr>
      <w:tr w14:paraId="5B3A2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5F8DD460">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2A57E0A0">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联系地址</w:t>
            </w:r>
          </w:p>
        </w:tc>
        <w:tc>
          <w:tcPr>
            <w:tcW w:w="4059" w:type="dxa"/>
            <w:gridSpan w:val="2"/>
            <w:tcBorders>
              <w:top w:val="single" w:color="000000" w:sz="4" w:space="0"/>
              <w:left w:val="single" w:color="000000" w:sz="4" w:space="0"/>
              <w:bottom w:val="single" w:color="000000" w:sz="4" w:space="0"/>
              <w:right w:val="single" w:color="000000" w:sz="4" w:space="0"/>
            </w:tcBorders>
            <w:vAlign w:val="center"/>
          </w:tcPr>
          <w:p w14:paraId="4525DEA9">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spacing w:val="2"/>
                <w:kern w:val="0"/>
                <w:sz w:val="24"/>
                <w:szCs w:val="24"/>
                <w:lang w:eastAsia="zh-CN"/>
              </w:rPr>
            </w:pPr>
            <w:r>
              <w:rPr>
                <w:rFonts w:hint="eastAsia" w:ascii="宋体" w:hAnsi="宋体" w:cs="宋体"/>
                <w:spacing w:val="2"/>
                <w:kern w:val="0"/>
                <w:sz w:val="24"/>
                <w:szCs w:val="24"/>
                <w:lang w:eastAsia="zh-CN"/>
              </w:rPr>
              <w:t>禄劝县屏山镇茂龙村委会小龙潭村</w:t>
            </w:r>
          </w:p>
        </w:tc>
        <w:tc>
          <w:tcPr>
            <w:tcW w:w="1613" w:type="dxa"/>
            <w:tcBorders>
              <w:top w:val="single" w:color="000000" w:sz="4" w:space="0"/>
              <w:left w:val="single" w:color="000000" w:sz="4" w:space="0"/>
              <w:bottom w:val="single" w:color="000000" w:sz="4" w:space="0"/>
              <w:right w:val="single" w:color="000000" w:sz="4" w:space="0"/>
            </w:tcBorders>
            <w:vAlign w:val="center"/>
          </w:tcPr>
          <w:p w14:paraId="1AA83893">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联系电话</w:t>
            </w:r>
          </w:p>
        </w:tc>
        <w:tc>
          <w:tcPr>
            <w:tcW w:w="2219" w:type="dxa"/>
            <w:gridSpan w:val="2"/>
            <w:tcBorders>
              <w:top w:val="single" w:color="000000" w:sz="4" w:space="0"/>
              <w:left w:val="single" w:color="000000" w:sz="4" w:space="0"/>
              <w:bottom w:val="single" w:color="000000" w:sz="4" w:space="0"/>
              <w:right w:val="single" w:color="000000" w:sz="4" w:space="0"/>
            </w:tcBorders>
            <w:vAlign w:val="center"/>
          </w:tcPr>
          <w:p w14:paraId="1E59A6D5">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w:t>
            </w:r>
          </w:p>
        </w:tc>
      </w:tr>
      <w:tr w14:paraId="7A958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04F35E7D">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4DE48589">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采矿权证证号</w:t>
            </w:r>
          </w:p>
        </w:tc>
        <w:tc>
          <w:tcPr>
            <w:tcW w:w="4059" w:type="dxa"/>
            <w:gridSpan w:val="2"/>
            <w:tcBorders>
              <w:top w:val="single" w:color="000000" w:sz="4" w:space="0"/>
              <w:left w:val="single" w:color="000000" w:sz="4" w:space="0"/>
              <w:bottom w:val="single" w:color="000000" w:sz="4" w:space="0"/>
              <w:right w:val="single" w:color="000000" w:sz="4" w:space="0"/>
            </w:tcBorders>
            <w:vAlign w:val="center"/>
          </w:tcPr>
          <w:p w14:paraId="4856A41D">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Arial" w:hAnsi="Arial" w:eastAsia="Arial" w:cs="Arial"/>
                <w:color w:val="auto"/>
                <w:kern w:val="0"/>
                <w:sz w:val="24"/>
                <w:szCs w:val="24"/>
                <w:lang w:val="en-US" w:eastAsia="zh-CN" w:bidi="ar-SA"/>
              </w:rPr>
              <w:t>****************</w:t>
            </w:r>
          </w:p>
        </w:tc>
        <w:tc>
          <w:tcPr>
            <w:tcW w:w="1613" w:type="dxa"/>
            <w:tcBorders>
              <w:top w:val="single" w:color="000000" w:sz="4" w:space="0"/>
              <w:left w:val="single" w:color="000000" w:sz="4" w:space="0"/>
              <w:bottom w:val="single" w:color="000000" w:sz="4" w:space="0"/>
              <w:right w:val="single" w:color="000000" w:sz="4" w:space="0"/>
            </w:tcBorders>
            <w:vAlign w:val="center"/>
          </w:tcPr>
          <w:p w14:paraId="38898EB9">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开采方式</w:t>
            </w:r>
          </w:p>
        </w:tc>
        <w:tc>
          <w:tcPr>
            <w:tcW w:w="2219" w:type="dxa"/>
            <w:gridSpan w:val="2"/>
            <w:tcBorders>
              <w:top w:val="single" w:color="000000" w:sz="4" w:space="0"/>
              <w:left w:val="single" w:color="000000" w:sz="4" w:space="0"/>
              <w:bottom w:val="single" w:color="000000" w:sz="4" w:space="0"/>
              <w:right w:val="single" w:color="000000" w:sz="4" w:space="0"/>
            </w:tcBorders>
            <w:vAlign w:val="center"/>
          </w:tcPr>
          <w:p w14:paraId="2DF28EEB">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露天开采</w:t>
            </w:r>
          </w:p>
        </w:tc>
      </w:tr>
      <w:tr w14:paraId="2448A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31DC5BE0">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6E0EC9D3">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采矿权面积</w:t>
            </w:r>
          </w:p>
        </w:tc>
        <w:tc>
          <w:tcPr>
            <w:tcW w:w="4059" w:type="dxa"/>
            <w:gridSpan w:val="2"/>
            <w:tcBorders>
              <w:top w:val="single" w:color="000000" w:sz="4" w:space="0"/>
              <w:left w:val="single" w:color="000000" w:sz="4" w:space="0"/>
              <w:bottom w:val="single" w:color="000000" w:sz="4" w:space="0"/>
              <w:right w:val="single" w:color="000000" w:sz="4" w:space="0"/>
            </w:tcBorders>
            <w:vAlign w:val="center"/>
          </w:tcPr>
          <w:p w14:paraId="7C6F4264">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Arial" w:hAnsi="Arial" w:eastAsia="Arial" w:cs="Arial"/>
                <w:color w:val="auto"/>
                <w:kern w:val="0"/>
                <w:sz w:val="24"/>
                <w:szCs w:val="24"/>
                <w:lang w:val="en-US" w:eastAsia="zh-CN" w:bidi="ar-SA"/>
              </w:rPr>
              <w:t>0.0176km</w:t>
            </w:r>
            <w:r>
              <w:rPr>
                <w:rFonts w:hint="eastAsia" w:ascii="Arial" w:hAnsi="Arial" w:eastAsia="Arial" w:cs="Arial"/>
                <w:color w:val="auto"/>
                <w:kern w:val="0"/>
                <w:sz w:val="24"/>
                <w:szCs w:val="24"/>
                <w:vertAlign w:val="superscript"/>
                <w:lang w:val="en-US" w:eastAsia="zh-CN" w:bidi="ar-SA"/>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3BFEC6B7">
            <w:pPr>
              <w:pageBreakBefore w:val="0"/>
              <w:kinsoku/>
              <w:wordWrap/>
              <w:overflowPunct/>
              <w:topLinePunct w:val="0"/>
              <w:autoSpaceDE w:val="0"/>
              <w:autoSpaceDN w:val="0"/>
              <w:bidi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3"/>
                <w:kern w:val="0"/>
                <w:sz w:val="24"/>
                <w:szCs w:val="24"/>
                <w:lang w:eastAsia="en-US"/>
              </w:rPr>
              <w:t>采矿权拐点</w:t>
            </w:r>
          </w:p>
          <w:p w14:paraId="0084ABBD">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3"/>
                <w:kern w:val="0"/>
                <w:sz w:val="24"/>
                <w:szCs w:val="24"/>
                <w:lang w:eastAsia="en-US"/>
              </w:rPr>
              <w:t>坐标</w:t>
            </w:r>
          </w:p>
        </w:tc>
        <w:tc>
          <w:tcPr>
            <w:tcW w:w="2219" w:type="dxa"/>
            <w:gridSpan w:val="2"/>
            <w:tcBorders>
              <w:top w:val="single" w:color="000000" w:sz="4" w:space="0"/>
              <w:left w:val="single" w:color="000000" w:sz="4" w:space="0"/>
              <w:bottom w:val="single" w:color="000000" w:sz="4" w:space="0"/>
              <w:right w:val="single" w:color="000000" w:sz="4" w:space="0"/>
            </w:tcBorders>
            <w:vAlign w:val="center"/>
          </w:tcPr>
          <w:p w14:paraId="767EE814">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w:t>
            </w:r>
          </w:p>
        </w:tc>
      </w:tr>
      <w:tr w14:paraId="7FA69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163B82DC">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1A6C62EC">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1"/>
                <w:kern w:val="0"/>
                <w:sz w:val="24"/>
                <w:szCs w:val="24"/>
                <w:lang w:eastAsia="en-US"/>
              </w:rPr>
              <w:t>采矿权有效期限</w:t>
            </w:r>
          </w:p>
        </w:tc>
        <w:tc>
          <w:tcPr>
            <w:tcW w:w="4059" w:type="dxa"/>
            <w:gridSpan w:val="2"/>
            <w:tcBorders>
              <w:top w:val="single" w:color="000000" w:sz="4" w:space="0"/>
              <w:left w:val="single" w:color="000000" w:sz="4" w:space="0"/>
              <w:bottom w:val="single" w:color="000000" w:sz="4" w:space="0"/>
              <w:right w:val="single" w:color="000000" w:sz="4" w:space="0"/>
            </w:tcBorders>
            <w:vAlign w:val="center"/>
          </w:tcPr>
          <w:p w14:paraId="017E4383">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Arial" w:hAnsi="Arial" w:eastAsia="宋体" w:cs="Arial"/>
                <w:color w:val="auto"/>
                <w:kern w:val="0"/>
                <w:sz w:val="24"/>
                <w:szCs w:val="24"/>
                <w:lang w:val="en-US" w:eastAsia="zh-CN" w:bidi="ar-SA"/>
              </w:rPr>
            </w:pPr>
            <w:r>
              <w:rPr>
                <w:rFonts w:hint="eastAsia" w:ascii="Arial" w:hAnsi="Arial" w:eastAsia="宋体" w:cs="Arial"/>
                <w:color w:val="auto"/>
                <w:kern w:val="0"/>
                <w:sz w:val="24"/>
                <w:szCs w:val="24"/>
                <w:lang w:val="en-US" w:eastAsia="zh-CN" w:bidi="ar-SA"/>
              </w:rPr>
              <w:t>伍年</w:t>
            </w:r>
          </w:p>
          <w:p w14:paraId="091B6D74">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Arial" w:hAnsi="Arial" w:eastAsia="宋体" w:cs="Arial"/>
                <w:color w:val="auto"/>
                <w:kern w:val="0"/>
                <w:sz w:val="24"/>
                <w:szCs w:val="24"/>
                <w:lang w:val="en-US" w:eastAsia="zh-CN" w:bidi="ar-SA"/>
              </w:rPr>
              <w:t>（</w:t>
            </w:r>
            <w:r>
              <w:rPr>
                <w:rFonts w:hint="eastAsia" w:ascii="Arial" w:hAnsi="Arial" w:eastAsia="Arial" w:cs="Arial"/>
                <w:color w:val="auto"/>
                <w:kern w:val="0"/>
                <w:sz w:val="24"/>
                <w:szCs w:val="24"/>
                <w:lang w:val="en-US" w:eastAsia="en-US" w:bidi="ar-SA"/>
              </w:rPr>
              <w:t>2016年6月12日至2021年6月12日</w:t>
            </w:r>
            <w:r>
              <w:rPr>
                <w:rFonts w:hint="eastAsia" w:ascii="Arial" w:hAnsi="Arial" w:eastAsia="宋体" w:cs="Arial"/>
                <w:color w:val="auto"/>
                <w:kern w:val="0"/>
                <w:sz w:val="24"/>
                <w:szCs w:val="24"/>
                <w:lang w:val="en-US" w:eastAsia="zh-CN" w:bidi="ar-SA"/>
              </w:rPr>
              <w:t>）</w:t>
            </w:r>
          </w:p>
        </w:tc>
        <w:tc>
          <w:tcPr>
            <w:tcW w:w="1613" w:type="dxa"/>
            <w:tcBorders>
              <w:top w:val="single" w:color="000000" w:sz="4" w:space="0"/>
              <w:left w:val="single" w:color="000000" w:sz="4" w:space="0"/>
              <w:bottom w:val="single" w:color="000000" w:sz="4" w:space="0"/>
              <w:right w:val="single" w:color="000000" w:sz="4" w:space="0"/>
            </w:tcBorders>
            <w:vAlign w:val="center"/>
          </w:tcPr>
          <w:p w14:paraId="1201D05E">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矿区生态修复报告表服务期限</w:t>
            </w:r>
          </w:p>
        </w:tc>
        <w:tc>
          <w:tcPr>
            <w:tcW w:w="2219" w:type="dxa"/>
            <w:gridSpan w:val="2"/>
            <w:tcBorders>
              <w:top w:val="single" w:color="000000" w:sz="4" w:space="0"/>
              <w:left w:val="single" w:color="000000" w:sz="4" w:space="0"/>
              <w:bottom w:val="single" w:color="000000" w:sz="4" w:space="0"/>
              <w:right w:val="single" w:color="000000" w:sz="4" w:space="0"/>
            </w:tcBorders>
            <w:vAlign w:val="center"/>
          </w:tcPr>
          <w:p w14:paraId="0D664226">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***年</w:t>
            </w:r>
          </w:p>
        </w:tc>
      </w:tr>
      <w:tr w14:paraId="45B75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63509D4C">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zh-CN"/>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37867CE3">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3"/>
                <w:kern w:val="0"/>
                <w:sz w:val="24"/>
                <w:szCs w:val="24"/>
                <w:lang w:eastAsia="en-US"/>
              </w:rPr>
              <w:t>开采主矿种</w:t>
            </w:r>
          </w:p>
        </w:tc>
        <w:tc>
          <w:tcPr>
            <w:tcW w:w="4059" w:type="dxa"/>
            <w:gridSpan w:val="2"/>
            <w:tcBorders>
              <w:top w:val="single" w:color="000000" w:sz="4" w:space="0"/>
              <w:left w:val="single" w:color="000000" w:sz="4" w:space="0"/>
              <w:bottom w:val="single" w:color="000000" w:sz="4" w:space="0"/>
              <w:right w:val="single" w:color="000000" w:sz="4" w:space="0"/>
            </w:tcBorders>
            <w:vAlign w:val="center"/>
          </w:tcPr>
          <w:p w14:paraId="1BD798AE">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Arial" w:hAnsi="Arial" w:eastAsia="Arial" w:cs="Arial"/>
                <w:color w:val="auto"/>
                <w:kern w:val="0"/>
                <w:sz w:val="24"/>
                <w:szCs w:val="24"/>
                <w:lang w:val="en-US" w:eastAsia="zh-CN" w:bidi="ar-SA"/>
              </w:rPr>
              <w:t>砖瓦用页岩</w:t>
            </w:r>
          </w:p>
        </w:tc>
        <w:tc>
          <w:tcPr>
            <w:tcW w:w="1613" w:type="dxa"/>
            <w:tcBorders>
              <w:top w:val="single" w:color="000000" w:sz="4" w:space="0"/>
              <w:left w:val="single" w:color="000000" w:sz="4" w:space="0"/>
              <w:bottom w:val="single" w:color="000000" w:sz="4" w:space="0"/>
              <w:right w:val="single" w:color="000000" w:sz="4" w:space="0"/>
            </w:tcBorders>
            <w:vAlign w:val="center"/>
          </w:tcPr>
          <w:p w14:paraId="0DBCE023">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4"/>
                <w:kern w:val="0"/>
                <w:sz w:val="24"/>
                <w:szCs w:val="24"/>
                <w:lang w:eastAsia="en-US"/>
              </w:rPr>
              <w:t>其他矿种</w:t>
            </w:r>
          </w:p>
        </w:tc>
        <w:tc>
          <w:tcPr>
            <w:tcW w:w="2219" w:type="dxa"/>
            <w:gridSpan w:val="2"/>
            <w:tcBorders>
              <w:top w:val="single" w:color="000000" w:sz="4" w:space="0"/>
              <w:left w:val="single" w:color="000000" w:sz="4" w:space="0"/>
              <w:bottom w:val="single" w:color="000000" w:sz="4" w:space="0"/>
              <w:right w:val="single" w:color="000000" w:sz="4" w:space="0"/>
            </w:tcBorders>
            <w:vAlign w:val="center"/>
          </w:tcPr>
          <w:p w14:paraId="1BC2B9DD">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w:t>
            </w:r>
          </w:p>
        </w:tc>
      </w:tr>
      <w:tr w14:paraId="5170E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7"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1DBC1769">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2FCFBD3F">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方案编制情形</w:t>
            </w:r>
          </w:p>
        </w:tc>
        <w:tc>
          <w:tcPr>
            <w:tcW w:w="7891" w:type="dxa"/>
            <w:gridSpan w:val="5"/>
            <w:tcBorders>
              <w:top w:val="single" w:color="000000" w:sz="4" w:space="0"/>
              <w:left w:val="single" w:color="000000" w:sz="4" w:space="0"/>
              <w:bottom w:val="single" w:color="000000" w:sz="4" w:space="0"/>
              <w:right w:val="single" w:color="000000" w:sz="4" w:space="0"/>
            </w:tcBorders>
            <w:vAlign w:val="top"/>
          </w:tcPr>
          <w:p w14:paraId="112A2623">
            <w:pPr>
              <w:pageBreakBefore w:val="0"/>
              <w:kinsoku/>
              <w:wordWrap/>
              <w:overflowPunct/>
              <w:topLinePunct w:val="0"/>
              <w:autoSpaceDE w:val="0"/>
              <w:autoSpaceDN w:val="0"/>
              <w:bidi w:val="0"/>
              <w:spacing w:before="234" w:line="240" w:lineRule="atLeast"/>
              <w:ind w:left="72" w:firstLine="0" w:firstLineChars="0"/>
              <w:textAlignment w:val="auto"/>
              <w:rPr>
                <w:rFonts w:ascii="宋体" w:hAnsi="宋体" w:cs="宋体"/>
                <w:kern w:val="0"/>
                <w:sz w:val="24"/>
                <w:szCs w:val="24"/>
                <w:lang w:eastAsia="zh-CN"/>
              </w:rPr>
            </w:pPr>
            <w:r>
              <w:rPr>
                <w:rFonts w:hint="eastAsia" w:ascii="宋体" w:hAnsi="宋体" w:cs="宋体"/>
                <w:spacing w:val="1"/>
                <w:kern w:val="0"/>
                <w:sz w:val="24"/>
                <w:szCs w:val="24"/>
                <w:lang w:eastAsia="zh-CN"/>
              </w:rPr>
              <w:t>□首次申请采矿许可  □扩大开采区域     □缩小开采区域</w:t>
            </w:r>
          </w:p>
          <w:p w14:paraId="00A62D72">
            <w:pPr>
              <w:pageBreakBefore w:val="0"/>
              <w:kinsoku/>
              <w:wordWrap/>
              <w:overflowPunct/>
              <w:topLinePunct w:val="0"/>
              <w:autoSpaceDE w:val="0"/>
              <w:autoSpaceDN w:val="0"/>
              <w:bidi w:val="0"/>
              <w:adjustRightInd w:val="0"/>
              <w:snapToGrid w:val="0"/>
              <w:spacing w:before="61" w:line="240" w:lineRule="atLeast"/>
              <w:ind w:left="83" w:leftChars="0" w:firstLine="0" w:firstLineChars="0"/>
              <w:textAlignment w:val="auto"/>
              <w:rPr>
                <w:rFonts w:ascii="宋体" w:hAnsi="宋体" w:cs="宋体"/>
                <w:kern w:val="0"/>
                <w:sz w:val="24"/>
                <w:szCs w:val="24"/>
                <w:lang w:eastAsia="zh-CN"/>
              </w:rPr>
            </w:pPr>
            <w:r>
              <w:rPr>
                <w:rFonts w:hint="eastAsia" w:ascii="宋体" w:hAnsi="宋体" w:cs="宋体"/>
                <w:spacing w:val="1"/>
                <w:kern w:val="0"/>
                <w:sz w:val="24"/>
                <w:szCs w:val="24"/>
                <w:lang w:eastAsia="zh-CN"/>
              </w:rPr>
              <w:t>□变更开采方式      □变更开采主矿种</w:t>
            </w:r>
            <w:r>
              <w:rPr>
                <w:rFonts w:hint="eastAsia" w:ascii="宋体" w:hAnsi="宋体" w:cs="宋体"/>
                <w:spacing w:val="53"/>
                <w:kern w:val="0"/>
                <w:sz w:val="24"/>
                <w:szCs w:val="24"/>
                <w:lang w:eastAsia="zh-CN"/>
              </w:rPr>
              <w:t xml:space="preserve">  </w:t>
            </w:r>
            <w:r>
              <w:rPr>
                <w:rFonts w:hint="eastAsia" w:ascii="MS Mincho" w:hAnsi="MS Mincho" w:eastAsia="MS Mincho" w:cs="MS Mincho"/>
                <w:spacing w:val="1"/>
                <w:kern w:val="0"/>
                <w:sz w:val="24"/>
                <w:szCs w:val="24"/>
                <w:lang w:eastAsia="zh-CN"/>
              </w:rPr>
              <w:t>☑</w:t>
            </w:r>
            <w:r>
              <w:rPr>
                <w:rFonts w:hint="eastAsia" w:ascii="宋体" w:hAnsi="宋体" w:cs="宋体"/>
                <w:spacing w:val="1"/>
                <w:kern w:val="0"/>
                <w:sz w:val="24"/>
                <w:szCs w:val="24"/>
                <w:lang w:eastAsia="zh-CN"/>
              </w:rPr>
              <w:t>延续  □其他</w:t>
            </w:r>
          </w:p>
        </w:tc>
      </w:tr>
      <w:tr w14:paraId="3B8B0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jc w:val="center"/>
        </w:trPr>
        <w:tc>
          <w:tcPr>
            <w:tcW w:w="500" w:type="dxa"/>
            <w:vMerge w:val="restart"/>
            <w:tcBorders>
              <w:top w:val="single" w:color="000000" w:sz="4" w:space="0"/>
              <w:left w:val="single" w:color="000000" w:sz="4" w:space="0"/>
              <w:bottom w:val="single" w:color="000000" w:sz="4" w:space="0"/>
              <w:right w:val="single" w:color="000000" w:sz="4" w:space="0"/>
            </w:tcBorders>
            <w:vAlign w:val="center"/>
          </w:tcPr>
          <w:p w14:paraId="473F7AAD">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kern w:val="0"/>
                <w:sz w:val="24"/>
                <w:szCs w:val="24"/>
                <w:lang w:eastAsia="en-US"/>
              </w:rPr>
              <w:t>方</w:t>
            </w:r>
            <w:r>
              <w:rPr>
                <w:rFonts w:hint="eastAsia" w:ascii="宋体" w:hAnsi="宋体" w:cs="宋体"/>
                <w:spacing w:val="77"/>
                <w:kern w:val="0"/>
                <w:sz w:val="24"/>
                <w:szCs w:val="24"/>
                <w:lang w:eastAsia="en-US"/>
              </w:rPr>
              <w:t xml:space="preserve"> </w:t>
            </w:r>
            <w:r>
              <w:rPr>
                <w:rFonts w:hint="eastAsia" w:ascii="宋体" w:hAnsi="宋体" w:cs="宋体"/>
                <w:kern w:val="0"/>
                <w:sz w:val="24"/>
                <w:szCs w:val="24"/>
                <w:lang w:eastAsia="en-US"/>
              </w:rPr>
              <w:t>案</w:t>
            </w:r>
            <w:r>
              <w:rPr>
                <w:rFonts w:hint="eastAsia" w:ascii="宋体" w:hAnsi="宋体" w:cs="宋体"/>
                <w:spacing w:val="77"/>
                <w:kern w:val="0"/>
                <w:sz w:val="24"/>
                <w:szCs w:val="24"/>
                <w:lang w:eastAsia="en-US"/>
              </w:rPr>
              <w:t xml:space="preserve"> </w:t>
            </w:r>
            <w:r>
              <w:rPr>
                <w:rFonts w:hint="eastAsia" w:ascii="宋体" w:hAnsi="宋体" w:cs="宋体"/>
                <w:kern w:val="0"/>
                <w:sz w:val="24"/>
                <w:szCs w:val="24"/>
                <w:lang w:eastAsia="en-US"/>
              </w:rPr>
              <w:t>编</w:t>
            </w:r>
            <w:r>
              <w:rPr>
                <w:rFonts w:hint="eastAsia" w:ascii="宋体" w:hAnsi="宋体" w:cs="宋体"/>
                <w:spacing w:val="78"/>
                <w:kern w:val="0"/>
                <w:sz w:val="24"/>
                <w:szCs w:val="24"/>
                <w:lang w:eastAsia="en-US"/>
              </w:rPr>
              <w:t xml:space="preserve"> </w:t>
            </w:r>
            <w:r>
              <w:rPr>
                <w:rFonts w:hint="eastAsia" w:ascii="宋体" w:hAnsi="宋体" w:cs="宋体"/>
                <w:kern w:val="0"/>
                <w:sz w:val="24"/>
                <w:szCs w:val="24"/>
                <w:lang w:eastAsia="en-US"/>
              </w:rPr>
              <w:t>制</w:t>
            </w:r>
            <w:r>
              <w:rPr>
                <w:rFonts w:hint="eastAsia" w:ascii="宋体" w:hAnsi="宋体" w:cs="宋体"/>
                <w:spacing w:val="78"/>
                <w:kern w:val="0"/>
                <w:sz w:val="24"/>
                <w:szCs w:val="24"/>
                <w:lang w:eastAsia="en-US"/>
              </w:rPr>
              <w:t xml:space="preserve"> </w:t>
            </w:r>
            <w:r>
              <w:rPr>
                <w:rFonts w:hint="eastAsia" w:ascii="宋体" w:hAnsi="宋体" w:cs="宋体"/>
                <w:kern w:val="0"/>
                <w:sz w:val="24"/>
                <w:szCs w:val="24"/>
                <w:lang w:eastAsia="en-US"/>
              </w:rPr>
              <w:t>单</w:t>
            </w:r>
            <w:r>
              <w:rPr>
                <w:rFonts w:hint="eastAsia" w:ascii="宋体" w:hAnsi="宋体" w:cs="宋体"/>
                <w:spacing w:val="78"/>
                <w:kern w:val="0"/>
                <w:sz w:val="24"/>
                <w:szCs w:val="24"/>
                <w:lang w:eastAsia="en-US"/>
              </w:rPr>
              <w:t xml:space="preserve"> </w:t>
            </w:r>
            <w:r>
              <w:rPr>
                <w:rFonts w:hint="eastAsia" w:ascii="宋体" w:hAnsi="宋体" w:cs="宋体"/>
                <w:kern w:val="0"/>
                <w:sz w:val="24"/>
                <w:szCs w:val="24"/>
                <w:lang w:eastAsia="en-US"/>
              </w:rPr>
              <w:t>位</w:t>
            </w:r>
          </w:p>
        </w:tc>
        <w:tc>
          <w:tcPr>
            <w:tcW w:w="1557" w:type="dxa"/>
            <w:tcBorders>
              <w:top w:val="single" w:color="000000" w:sz="4" w:space="0"/>
              <w:left w:val="single" w:color="000000" w:sz="4" w:space="0"/>
              <w:bottom w:val="single" w:color="000000" w:sz="4" w:space="0"/>
              <w:right w:val="single" w:color="000000" w:sz="4" w:space="0"/>
            </w:tcBorders>
            <w:vAlign w:val="center"/>
          </w:tcPr>
          <w:p w14:paraId="345F1A6A">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单位名称</w:t>
            </w:r>
          </w:p>
        </w:tc>
        <w:tc>
          <w:tcPr>
            <w:tcW w:w="7891" w:type="dxa"/>
            <w:gridSpan w:val="5"/>
            <w:tcBorders>
              <w:top w:val="single" w:color="000000" w:sz="4" w:space="0"/>
              <w:left w:val="single" w:color="000000" w:sz="4" w:space="0"/>
              <w:bottom w:val="single" w:color="000000" w:sz="4" w:space="0"/>
              <w:right w:val="single" w:color="000000" w:sz="4" w:space="0"/>
            </w:tcBorders>
            <w:vAlign w:val="center"/>
          </w:tcPr>
          <w:p w14:paraId="1339FABA">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zh-CN"/>
              </w:rPr>
            </w:pPr>
            <w:r>
              <w:rPr>
                <w:rFonts w:hint="eastAsia" w:ascii="宋体" w:hAnsi="宋体" w:eastAsia="宋体" w:cs="宋体"/>
                <w:kern w:val="0"/>
                <w:sz w:val="28"/>
                <w:szCs w:val="20"/>
                <w:lang w:eastAsia="zh-CN"/>
              </w:rPr>
              <w:t>核工业江西工程勘察研究总院有限公司</w:t>
            </w:r>
          </w:p>
        </w:tc>
      </w:tr>
      <w:tr w14:paraId="45E7F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11D9AD75">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zh-CN"/>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710D3E6C">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1"/>
                <w:kern w:val="0"/>
                <w:sz w:val="24"/>
                <w:szCs w:val="24"/>
                <w:lang w:eastAsia="en-US"/>
              </w:rPr>
              <w:t>统一社会信用代码</w:t>
            </w:r>
          </w:p>
        </w:tc>
        <w:tc>
          <w:tcPr>
            <w:tcW w:w="4059" w:type="dxa"/>
            <w:gridSpan w:val="2"/>
            <w:tcBorders>
              <w:top w:val="single" w:color="000000" w:sz="4" w:space="0"/>
              <w:left w:val="single" w:color="000000" w:sz="4" w:space="0"/>
              <w:bottom w:val="single" w:color="000000" w:sz="4" w:space="0"/>
              <w:right w:val="single" w:color="000000" w:sz="4" w:space="0"/>
            </w:tcBorders>
            <w:vAlign w:val="center"/>
          </w:tcPr>
          <w:p w14:paraId="6A20EFD4">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91360000705546361G</w:t>
            </w:r>
          </w:p>
        </w:tc>
        <w:tc>
          <w:tcPr>
            <w:tcW w:w="1613" w:type="dxa"/>
            <w:tcBorders>
              <w:top w:val="single" w:color="000000" w:sz="4" w:space="0"/>
              <w:left w:val="single" w:color="000000" w:sz="4" w:space="0"/>
              <w:bottom w:val="single" w:color="000000" w:sz="4" w:space="0"/>
              <w:right w:val="single" w:color="000000" w:sz="4" w:space="0"/>
            </w:tcBorders>
            <w:vAlign w:val="center"/>
          </w:tcPr>
          <w:p w14:paraId="431968CA">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3"/>
                <w:kern w:val="0"/>
                <w:sz w:val="24"/>
                <w:szCs w:val="24"/>
                <w:lang w:eastAsia="en-US"/>
              </w:rPr>
              <w:t>联系人</w:t>
            </w:r>
          </w:p>
        </w:tc>
        <w:tc>
          <w:tcPr>
            <w:tcW w:w="2219" w:type="dxa"/>
            <w:gridSpan w:val="2"/>
            <w:tcBorders>
              <w:top w:val="single" w:color="000000" w:sz="4" w:space="0"/>
              <w:left w:val="single" w:color="000000" w:sz="4" w:space="0"/>
              <w:bottom w:val="single" w:color="000000" w:sz="4" w:space="0"/>
              <w:right w:val="single" w:color="000000" w:sz="4" w:space="0"/>
            </w:tcBorders>
            <w:vAlign w:val="center"/>
          </w:tcPr>
          <w:p w14:paraId="017896D3">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w:t>
            </w:r>
          </w:p>
        </w:tc>
      </w:tr>
      <w:tr w14:paraId="17E66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5FB61477">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5DEBD307">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联系地址</w:t>
            </w:r>
          </w:p>
        </w:tc>
        <w:tc>
          <w:tcPr>
            <w:tcW w:w="4059" w:type="dxa"/>
            <w:gridSpan w:val="2"/>
            <w:tcBorders>
              <w:top w:val="single" w:color="000000" w:sz="4" w:space="0"/>
              <w:left w:val="single" w:color="000000" w:sz="4" w:space="0"/>
              <w:bottom w:val="single" w:color="000000" w:sz="4" w:space="0"/>
              <w:right w:val="single" w:color="000000" w:sz="4" w:space="0"/>
            </w:tcBorders>
            <w:vAlign w:val="center"/>
          </w:tcPr>
          <w:p w14:paraId="09BF7B0D">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江西省南昌市南昌高新技术产业开发区艾溪湖一路618号</w:t>
            </w:r>
          </w:p>
        </w:tc>
        <w:tc>
          <w:tcPr>
            <w:tcW w:w="1613" w:type="dxa"/>
            <w:tcBorders>
              <w:top w:val="single" w:color="000000" w:sz="4" w:space="0"/>
              <w:left w:val="single" w:color="000000" w:sz="4" w:space="0"/>
              <w:bottom w:val="single" w:color="000000" w:sz="4" w:space="0"/>
              <w:right w:val="single" w:color="000000" w:sz="4" w:space="0"/>
            </w:tcBorders>
            <w:vAlign w:val="center"/>
          </w:tcPr>
          <w:p w14:paraId="4BA1FA11">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联系电话</w:t>
            </w:r>
          </w:p>
        </w:tc>
        <w:tc>
          <w:tcPr>
            <w:tcW w:w="2219" w:type="dxa"/>
            <w:gridSpan w:val="2"/>
            <w:tcBorders>
              <w:top w:val="single" w:color="000000" w:sz="4" w:space="0"/>
              <w:left w:val="single" w:color="000000" w:sz="4" w:space="0"/>
              <w:bottom w:val="single" w:color="000000" w:sz="4" w:space="0"/>
              <w:right w:val="single" w:color="000000" w:sz="4" w:space="0"/>
            </w:tcBorders>
            <w:vAlign w:val="center"/>
          </w:tcPr>
          <w:p w14:paraId="66622269">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w:t>
            </w:r>
          </w:p>
        </w:tc>
      </w:tr>
      <w:tr w14:paraId="1ECE1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5B23E4C7">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9448" w:type="dxa"/>
            <w:gridSpan w:val="6"/>
            <w:tcBorders>
              <w:top w:val="single" w:color="000000" w:sz="4" w:space="0"/>
              <w:left w:val="single" w:color="000000" w:sz="4" w:space="0"/>
              <w:bottom w:val="single" w:color="000000" w:sz="4" w:space="0"/>
              <w:right w:val="single" w:color="000000" w:sz="4" w:space="0"/>
            </w:tcBorders>
            <w:vAlign w:val="center"/>
          </w:tcPr>
          <w:p w14:paraId="5B893DF3">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编制负责人</w:t>
            </w:r>
          </w:p>
        </w:tc>
      </w:tr>
      <w:tr w14:paraId="2E86E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47C234ED">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0E6861A9">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14"/>
                <w:kern w:val="0"/>
                <w:sz w:val="24"/>
                <w:szCs w:val="24"/>
                <w:lang w:eastAsia="en-US"/>
              </w:rPr>
              <w:t>姓名</w:t>
            </w:r>
          </w:p>
        </w:tc>
        <w:tc>
          <w:tcPr>
            <w:tcW w:w="1482" w:type="dxa"/>
            <w:tcBorders>
              <w:top w:val="single" w:color="000000" w:sz="4" w:space="0"/>
              <w:left w:val="single" w:color="000000" w:sz="4" w:space="0"/>
              <w:bottom w:val="single" w:color="000000" w:sz="4" w:space="0"/>
              <w:right w:val="single" w:color="000000" w:sz="4" w:space="0"/>
            </w:tcBorders>
            <w:vAlign w:val="center"/>
          </w:tcPr>
          <w:p w14:paraId="5A80690F">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3"/>
                <w:kern w:val="0"/>
                <w:sz w:val="24"/>
                <w:szCs w:val="24"/>
                <w:lang w:eastAsia="en-US"/>
              </w:rPr>
              <w:t>身份证号</w:t>
            </w:r>
          </w:p>
        </w:tc>
        <w:tc>
          <w:tcPr>
            <w:tcW w:w="2577" w:type="dxa"/>
            <w:tcBorders>
              <w:top w:val="single" w:color="000000" w:sz="4" w:space="0"/>
              <w:left w:val="single" w:color="000000" w:sz="4" w:space="0"/>
              <w:bottom w:val="single" w:color="000000" w:sz="4" w:space="0"/>
              <w:right w:val="single" w:color="000000" w:sz="4" w:space="0"/>
            </w:tcBorders>
            <w:vAlign w:val="center"/>
          </w:tcPr>
          <w:p w14:paraId="65D57869">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5"/>
                <w:kern w:val="0"/>
                <w:sz w:val="24"/>
                <w:szCs w:val="24"/>
                <w:lang w:eastAsia="en-US"/>
              </w:rPr>
              <w:t>专</w:t>
            </w:r>
            <w:r>
              <w:rPr>
                <w:rFonts w:hint="eastAsia" w:ascii="宋体" w:hAnsi="宋体" w:cs="宋体"/>
                <w:spacing w:val="12"/>
                <w:kern w:val="0"/>
                <w:sz w:val="24"/>
                <w:szCs w:val="24"/>
                <w:lang w:eastAsia="en-US"/>
              </w:rPr>
              <w:t xml:space="preserve">  </w:t>
            </w:r>
            <w:r>
              <w:rPr>
                <w:rFonts w:hint="eastAsia" w:ascii="宋体" w:hAnsi="宋体" w:cs="宋体"/>
                <w:spacing w:val="-5"/>
                <w:kern w:val="0"/>
                <w:sz w:val="24"/>
                <w:szCs w:val="24"/>
                <w:lang w:eastAsia="en-US"/>
              </w:rPr>
              <w:t>业</w:t>
            </w:r>
          </w:p>
        </w:tc>
        <w:tc>
          <w:tcPr>
            <w:tcW w:w="1613" w:type="dxa"/>
            <w:tcBorders>
              <w:top w:val="single" w:color="000000" w:sz="4" w:space="0"/>
              <w:left w:val="single" w:color="000000" w:sz="4" w:space="0"/>
              <w:bottom w:val="single" w:color="000000" w:sz="4" w:space="0"/>
              <w:right w:val="single" w:color="000000" w:sz="4" w:space="0"/>
            </w:tcBorders>
            <w:vAlign w:val="center"/>
          </w:tcPr>
          <w:p w14:paraId="010F4229">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职务/职称</w:t>
            </w:r>
          </w:p>
        </w:tc>
        <w:tc>
          <w:tcPr>
            <w:tcW w:w="807" w:type="dxa"/>
            <w:tcBorders>
              <w:top w:val="single" w:color="000000" w:sz="4" w:space="0"/>
              <w:left w:val="single" w:color="000000" w:sz="4" w:space="0"/>
              <w:bottom w:val="single" w:color="000000" w:sz="4" w:space="0"/>
              <w:right w:val="single" w:color="000000" w:sz="4" w:space="0"/>
            </w:tcBorders>
            <w:vAlign w:val="center"/>
          </w:tcPr>
          <w:p w14:paraId="0D00AFB1">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联系电话</w:t>
            </w:r>
          </w:p>
        </w:tc>
        <w:tc>
          <w:tcPr>
            <w:tcW w:w="1412" w:type="dxa"/>
            <w:tcBorders>
              <w:top w:val="single" w:color="000000" w:sz="4" w:space="0"/>
              <w:left w:val="single" w:color="000000" w:sz="4" w:space="0"/>
              <w:bottom w:val="single" w:color="000000" w:sz="4" w:space="0"/>
              <w:right w:val="single" w:color="000000" w:sz="4" w:space="0"/>
            </w:tcBorders>
            <w:vAlign w:val="center"/>
          </w:tcPr>
          <w:p w14:paraId="264874E4">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14"/>
                <w:kern w:val="0"/>
                <w:sz w:val="24"/>
                <w:szCs w:val="24"/>
                <w:lang w:eastAsia="en-US"/>
              </w:rPr>
              <w:t>签</w:t>
            </w:r>
            <w:r>
              <w:rPr>
                <w:rFonts w:hint="eastAsia" w:ascii="宋体" w:hAnsi="宋体" w:cs="宋体"/>
                <w:spacing w:val="14"/>
                <w:kern w:val="0"/>
                <w:sz w:val="24"/>
                <w:szCs w:val="24"/>
                <w:lang w:eastAsia="zh-CN"/>
              </w:rPr>
              <w:t xml:space="preserve"> </w:t>
            </w:r>
            <w:r>
              <w:rPr>
                <w:rFonts w:hint="eastAsia" w:ascii="宋体" w:hAnsi="宋体" w:cs="宋体"/>
                <w:spacing w:val="14"/>
                <w:kern w:val="0"/>
                <w:sz w:val="24"/>
                <w:szCs w:val="24"/>
                <w:lang w:eastAsia="en-US"/>
              </w:rPr>
              <w:t>名</w:t>
            </w:r>
          </w:p>
        </w:tc>
      </w:tr>
      <w:tr w14:paraId="33C6A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2721AC07">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61A90BEF">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车君</w:t>
            </w:r>
          </w:p>
        </w:tc>
        <w:tc>
          <w:tcPr>
            <w:tcW w:w="1482" w:type="dxa"/>
            <w:tcBorders>
              <w:top w:val="single" w:color="000000" w:sz="4" w:space="0"/>
              <w:left w:val="single" w:color="000000" w:sz="4" w:space="0"/>
              <w:bottom w:val="single" w:color="000000" w:sz="4" w:space="0"/>
              <w:right w:val="single" w:color="000000" w:sz="4" w:space="0"/>
            </w:tcBorders>
            <w:vAlign w:val="center"/>
          </w:tcPr>
          <w:p w14:paraId="2659DE3E">
            <w:pPr>
              <w:pageBreakBefore w:val="0"/>
              <w:widowControl/>
              <w:kinsoku/>
              <w:wordWrap/>
              <w:overflowPunct/>
              <w:topLinePunct w:val="0"/>
              <w:autoSpaceDE w:val="0"/>
              <w:autoSpaceDN w:val="0"/>
              <w:bidi w:val="0"/>
              <w:adjustRightInd w:val="0"/>
              <w:snapToGrid w:val="0"/>
              <w:spacing w:line="240" w:lineRule="atLeast"/>
              <w:ind w:left="0" w:leftChars="0" w:firstLine="0" w:firstLineChars="0"/>
              <w:jc w:val="center"/>
              <w:textAlignment w:val="auto"/>
              <w:rPr>
                <w:rFonts w:ascii="宋体" w:hAnsi="宋体" w:eastAsia="宋体" w:cs="宋体"/>
                <w:color w:val="auto"/>
                <w:kern w:val="0"/>
                <w:sz w:val="24"/>
                <w:szCs w:val="24"/>
                <w:lang w:val="en-US" w:eastAsia="en-US" w:bidi="ar-SA"/>
              </w:rPr>
            </w:pPr>
            <w:r>
              <w:rPr>
                <w:rFonts w:hint="eastAsia" w:ascii="仿宋" w:hAnsi="仿宋" w:eastAsia="仿宋" w:cs="仿宋_GB2312"/>
              </w:rPr>
              <w:t>********</w:t>
            </w:r>
          </w:p>
        </w:tc>
        <w:tc>
          <w:tcPr>
            <w:tcW w:w="2577" w:type="dxa"/>
            <w:tcBorders>
              <w:top w:val="single" w:color="000000" w:sz="4" w:space="0"/>
              <w:left w:val="single" w:color="000000" w:sz="4" w:space="0"/>
              <w:bottom w:val="single" w:color="000000" w:sz="4" w:space="0"/>
              <w:right w:val="single" w:color="000000" w:sz="4" w:space="0"/>
            </w:tcBorders>
            <w:vAlign w:val="center"/>
          </w:tcPr>
          <w:p w14:paraId="2A7EBE0C">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核地质工程</w:t>
            </w:r>
          </w:p>
        </w:tc>
        <w:tc>
          <w:tcPr>
            <w:tcW w:w="1613" w:type="dxa"/>
            <w:tcBorders>
              <w:top w:val="single" w:color="000000" w:sz="4" w:space="0"/>
              <w:left w:val="single" w:color="000000" w:sz="4" w:space="0"/>
              <w:bottom w:val="single" w:color="000000" w:sz="4" w:space="0"/>
              <w:right w:val="single" w:color="000000" w:sz="4" w:space="0"/>
            </w:tcBorders>
            <w:vAlign w:val="center"/>
          </w:tcPr>
          <w:p w14:paraId="4DB9B9C8">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高级工程师</w:t>
            </w:r>
          </w:p>
        </w:tc>
        <w:tc>
          <w:tcPr>
            <w:tcW w:w="807" w:type="dxa"/>
            <w:tcBorders>
              <w:top w:val="single" w:color="000000" w:sz="4" w:space="0"/>
              <w:left w:val="single" w:color="000000" w:sz="4" w:space="0"/>
              <w:bottom w:val="single" w:color="000000" w:sz="4" w:space="0"/>
              <w:right w:val="single" w:color="000000" w:sz="4" w:space="0"/>
            </w:tcBorders>
            <w:vAlign w:val="center"/>
          </w:tcPr>
          <w:p w14:paraId="6E86B2E8">
            <w:pPr>
              <w:pageBreakBefore w:val="0"/>
              <w:widowControl/>
              <w:kinsoku/>
              <w:wordWrap/>
              <w:overflowPunct/>
              <w:topLinePunct w:val="0"/>
              <w:autoSpaceDE w:val="0"/>
              <w:autoSpaceDN w:val="0"/>
              <w:bidi w:val="0"/>
              <w:adjustRightInd w:val="0"/>
              <w:snapToGrid w:val="0"/>
              <w:spacing w:line="240" w:lineRule="atLeast"/>
              <w:ind w:left="0" w:leftChars="0" w:firstLine="0" w:firstLineChars="0"/>
              <w:jc w:val="center"/>
              <w:textAlignment w:val="auto"/>
              <w:rPr>
                <w:rFonts w:ascii="宋体" w:hAnsi="宋体" w:eastAsia="宋体" w:cs="宋体"/>
                <w:color w:val="auto"/>
                <w:kern w:val="0"/>
                <w:sz w:val="24"/>
                <w:szCs w:val="24"/>
                <w:lang w:val="en-US" w:eastAsia="en-US" w:bidi="ar-SA"/>
              </w:rPr>
            </w:pPr>
            <w:r>
              <w:rPr>
                <w:rFonts w:hint="eastAsia" w:ascii="仿宋" w:hAnsi="仿宋" w:eastAsia="仿宋" w:cs="仿宋_GB2312"/>
              </w:rPr>
              <w:t>******</w:t>
            </w:r>
          </w:p>
        </w:tc>
        <w:tc>
          <w:tcPr>
            <w:tcW w:w="1412" w:type="dxa"/>
            <w:tcBorders>
              <w:top w:val="single" w:color="000000" w:sz="4" w:space="0"/>
              <w:left w:val="single" w:color="000000" w:sz="4" w:space="0"/>
              <w:bottom w:val="single" w:color="000000" w:sz="4" w:space="0"/>
              <w:right w:val="single" w:color="000000" w:sz="4" w:space="0"/>
            </w:tcBorders>
            <w:vAlign w:val="center"/>
          </w:tcPr>
          <w:p w14:paraId="627691D6">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en-US" w:bidi="ar-SA"/>
              </w:rPr>
              <w:drawing>
                <wp:anchor distT="0" distB="0" distL="114300" distR="114300" simplePos="0" relativeHeight="251660288" behindDoc="1" locked="0" layoutInCell="1" allowOverlap="1">
                  <wp:simplePos x="0" y="0"/>
                  <wp:positionH relativeFrom="column">
                    <wp:posOffset>64135</wp:posOffset>
                  </wp:positionH>
                  <wp:positionV relativeFrom="paragraph">
                    <wp:posOffset>0</wp:posOffset>
                  </wp:positionV>
                  <wp:extent cx="753110" cy="371475"/>
                  <wp:effectExtent l="0" t="0" r="8890" b="9525"/>
                  <wp:wrapNone/>
                  <wp:docPr id="9" name="图片 9" descr="ecb34e82a6df72f3073a9e3566147c4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ecb34e82a6df72f3073a9e3566147c4f"/>
                          <pic:cNvPicPr>
                            <a:picLocks noChangeAspect="1"/>
                          </pic:cNvPicPr>
                        </pic:nvPicPr>
                        <pic:blipFill>
                          <a:blip r:embed="rId14"/>
                          <a:stretch>
                            <a:fillRect/>
                          </a:stretch>
                        </pic:blipFill>
                        <pic:spPr>
                          <a:xfrm>
                            <a:off x="0" y="0"/>
                            <a:ext cx="753110" cy="371475"/>
                          </a:xfrm>
                          <a:prstGeom prst="rect">
                            <a:avLst/>
                          </a:prstGeom>
                        </pic:spPr>
                      </pic:pic>
                    </a:graphicData>
                  </a:graphic>
                </wp:anchor>
              </w:drawing>
            </w:r>
          </w:p>
        </w:tc>
      </w:tr>
      <w:tr w14:paraId="5776C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4CB55D0B">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41BF9628">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hint="default"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杨松</w:t>
            </w:r>
          </w:p>
        </w:tc>
        <w:tc>
          <w:tcPr>
            <w:tcW w:w="1482" w:type="dxa"/>
            <w:tcBorders>
              <w:top w:val="single" w:color="000000" w:sz="4" w:space="0"/>
              <w:left w:val="single" w:color="000000" w:sz="4" w:space="0"/>
              <w:bottom w:val="single" w:color="000000" w:sz="4" w:space="0"/>
              <w:right w:val="single" w:color="000000" w:sz="4" w:space="0"/>
            </w:tcBorders>
            <w:vAlign w:val="center"/>
          </w:tcPr>
          <w:p w14:paraId="52D29688">
            <w:pPr>
              <w:pageBreakBefore w:val="0"/>
              <w:widowControl/>
              <w:kinsoku/>
              <w:wordWrap/>
              <w:overflowPunct/>
              <w:topLinePunct w:val="0"/>
              <w:autoSpaceDE w:val="0"/>
              <w:autoSpaceDN w:val="0"/>
              <w:bidi w:val="0"/>
              <w:adjustRightInd w:val="0"/>
              <w:snapToGrid w:val="0"/>
              <w:spacing w:line="240" w:lineRule="atLeast"/>
              <w:ind w:left="0" w:leftChars="0" w:firstLine="0" w:firstLineChars="0"/>
              <w:jc w:val="center"/>
              <w:textAlignment w:val="auto"/>
              <w:rPr>
                <w:rFonts w:hint="default" w:ascii="宋体" w:hAnsi="宋体" w:eastAsia="宋体" w:cs="宋体"/>
                <w:color w:val="auto"/>
                <w:kern w:val="0"/>
                <w:sz w:val="24"/>
                <w:szCs w:val="24"/>
                <w:lang w:val="en-US" w:eastAsia="zh-CN" w:bidi="ar-SA"/>
              </w:rPr>
            </w:pPr>
            <w:r>
              <w:rPr>
                <w:rFonts w:hint="eastAsia" w:ascii="仿宋" w:hAnsi="仿宋" w:eastAsia="仿宋" w:cs="仿宋_GB2312"/>
              </w:rPr>
              <w:t>********</w:t>
            </w:r>
          </w:p>
        </w:tc>
        <w:tc>
          <w:tcPr>
            <w:tcW w:w="2577" w:type="dxa"/>
            <w:tcBorders>
              <w:top w:val="single" w:color="000000" w:sz="4" w:space="0"/>
              <w:left w:val="single" w:color="000000" w:sz="4" w:space="0"/>
              <w:bottom w:val="single" w:color="000000" w:sz="4" w:space="0"/>
              <w:right w:val="single" w:color="000000" w:sz="4" w:space="0"/>
            </w:tcBorders>
            <w:vAlign w:val="center"/>
          </w:tcPr>
          <w:p w14:paraId="44141340">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hint="default"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地质工程</w:t>
            </w:r>
          </w:p>
        </w:tc>
        <w:tc>
          <w:tcPr>
            <w:tcW w:w="1613" w:type="dxa"/>
            <w:tcBorders>
              <w:top w:val="single" w:color="000000" w:sz="4" w:space="0"/>
              <w:left w:val="single" w:color="000000" w:sz="4" w:space="0"/>
              <w:bottom w:val="single" w:color="000000" w:sz="4" w:space="0"/>
              <w:right w:val="single" w:color="000000" w:sz="4" w:space="0"/>
            </w:tcBorders>
            <w:vAlign w:val="center"/>
          </w:tcPr>
          <w:p w14:paraId="094F282A">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高级工程师</w:t>
            </w:r>
          </w:p>
        </w:tc>
        <w:tc>
          <w:tcPr>
            <w:tcW w:w="807" w:type="dxa"/>
            <w:tcBorders>
              <w:top w:val="single" w:color="000000" w:sz="4" w:space="0"/>
              <w:left w:val="single" w:color="000000" w:sz="4" w:space="0"/>
              <w:bottom w:val="single" w:color="000000" w:sz="4" w:space="0"/>
              <w:right w:val="single" w:color="000000" w:sz="4" w:space="0"/>
            </w:tcBorders>
            <w:vAlign w:val="center"/>
          </w:tcPr>
          <w:p w14:paraId="0884373B">
            <w:pPr>
              <w:pageBreakBefore w:val="0"/>
              <w:widowControl/>
              <w:kinsoku/>
              <w:wordWrap/>
              <w:overflowPunct/>
              <w:topLinePunct w:val="0"/>
              <w:autoSpaceDE w:val="0"/>
              <w:autoSpaceDN w:val="0"/>
              <w:bidi w:val="0"/>
              <w:adjustRightInd w:val="0"/>
              <w:snapToGrid w:val="0"/>
              <w:spacing w:line="240" w:lineRule="atLeast"/>
              <w:ind w:left="0" w:leftChars="0" w:firstLine="0" w:firstLineChars="0"/>
              <w:jc w:val="center"/>
              <w:textAlignment w:val="auto"/>
              <w:rPr>
                <w:rFonts w:hint="default" w:ascii="宋体" w:hAnsi="宋体" w:eastAsia="宋体" w:cs="宋体"/>
                <w:color w:val="auto"/>
                <w:kern w:val="0"/>
                <w:sz w:val="24"/>
                <w:szCs w:val="24"/>
                <w:lang w:val="en-US" w:eastAsia="zh-CN" w:bidi="ar-SA"/>
              </w:rPr>
            </w:pPr>
            <w:r>
              <w:rPr>
                <w:rFonts w:hint="eastAsia" w:ascii="仿宋" w:hAnsi="仿宋" w:eastAsia="仿宋" w:cs="仿宋_GB2312"/>
              </w:rPr>
              <w:t>******</w:t>
            </w:r>
          </w:p>
        </w:tc>
        <w:tc>
          <w:tcPr>
            <w:tcW w:w="1412" w:type="dxa"/>
            <w:tcBorders>
              <w:top w:val="single" w:color="000000" w:sz="4" w:space="0"/>
              <w:left w:val="single" w:color="000000" w:sz="4" w:space="0"/>
              <w:bottom w:val="single" w:color="000000" w:sz="4" w:space="0"/>
              <w:right w:val="single" w:color="000000" w:sz="4" w:space="0"/>
            </w:tcBorders>
            <w:vAlign w:val="center"/>
          </w:tcPr>
          <w:p w14:paraId="077C5583">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en-US" w:bidi="ar-SA"/>
              </w:rPr>
              <w:drawing>
                <wp:anchor distT="0" distB="0" distL="114300" distR="114300" simplePos="0" relativeHeight="251659264" behindDoc="1" locked="0" layoutInCell="1" allowOverlap="1">
                  <wp:simplePos x="0" y="0"/>
                  <wp:positionH relativeFrom="column">
                    <wp:posOffset>54610</wp:posOffset>
                  </wp:positionH>
                  <wp:positionV relativeFrom="paragraph">
                    <wp:posOffset>0</wp:posOffset>
                  </wp:positionV>
                  <wp:extent cx="773430" cy="417830"/>
                  <wp:effectExtent l="0" t="0" r="7620" b="1270"/>
                  <wp:wrapNone/>
                  <wp:docPr id="10" name="图片 10" descr="7f35a2db699bcb8aed0380a644c0fb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7f35a2db699bcb8aed0380a644c0fb71"/>
                          <pic:cNvPicPr>
                            <a:picLocks noChangeAspect="1"/>
                          </pic:cNvPicPr>
                        </pic:nvPicPr>
                        <pic:blipFill>
                          <a:blip r:embed="rId15"/>
                          <a:stretch>
                            <a:fillRect/>
                          </a:stretch>
                        </pic:blipFill>
                        <pic:spPr>
                          <a:xfrm>
                            <a:off x="0" y="0"/>
                            <a:ext cx="773430" cy="417830"/>
                          </a:xfrm>
                          <a:prstGeom prst="rect">
                            <a:avLst/>
                          </a:prstGeom>
                        </pic:spPr>
                      </pic:pic>
                    </a:graphicData>
                  </a:graphic>
                </wp:anchor>
              </w:drawing>
            </w:r>
          </w:p>
        </w:tc>
      </w:tr>
      <w:tr w14:paraId="5DCC6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12E1EFAA">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9448" w:type="dxa"/>
            <w:gridSpan w:val="6"/>
            <w:tcBorders>
              <w:top w:val="single" w:color="000000" w:sz="4" w:space="0"/>
              <w:left w:val="single" w:color="000000" w:sz="4" w:space="0"/>
              <w:bottom w:val="single" w:color="000000" w:sz="4" w:space="0"/>
              <w:right w:val="single" w:color="000000" w:sz="4" w:space="0"/>
            </w:tcBorders>
            <w:vAlign w:val="center"/>
          </w:tcPr>
          <w:p w14:paraId="76BA8C9E">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5"/>
                <w:kern w:val="0"/>
                <w:sz w:val="24"/>
                <w:szCs w:val="24"/>
                <w:lang w:eastAsia="en-US"/>
              </w:rPr>
              <w:t>主要编制人员</w:t>
            </w:r>
          </w:p>
        </w:tc>
      </w:tr>
      <w:tr w14:paraId="5C14D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4023A2BE">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6D5829CB">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14"/>
                <w:kern w:val="0"/>
                <w:sz w:val="24"/>
                <w:szCs w:val="24"/>
                <w:lang w:eastAsia="en-US"/>
              </w:rPr>
              <w:t>姓名</w:t>
            </w:r>
          </w:p>
        </w:tc>
        <w:tc>
          <w:tcPr>
            <w:tcW w:w="1482" w:type="dxa"/>
            <w:tcBorders>
              <w:top w:val="single" w:color="000000" w:sz="4" w:space="0"/>
              <w:left w:val="single" w:color="000000" w:sz="4" w:space="0"/>
              <w:bottom w:val="single" w:color="000000" w:sz="4" w:space="0"/>
              <w:right w:val="single" w:color="000000" w:sz="4" w:space="0"/>
            </w:tcBorders>
            <w:vAlign w:val="center"/>
          </w:tcPr>
          <w:p w14:paraId="5EEEC06F">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3"/>
                <w:kern w:val="0"/>
                <w:sz w:val="24"/>
                <w:szCs w:val="24"/>
                <w:lang w:eastAsia="en-US"/>
              </w:rPr>
              <w:t>身份证号</w:t>
            </w:r>
          </w:p>
        </w:tc>
        <w:tc>
          <w:tcPr>
            <w:tcW w:w="2577" w:type="dxa"/>
            <w:tcBorders>
              <w:top w:val="single" w:color="000000" w:sz="4" w:space="0"/>
              <w:left w:val="single" w:color="000000" w:sz="4" w:space="0"/>
              <w:bottom w:val="single" w:color="000000" w:sz="4" w:space="0"/>
              <w:right w:val="single" w:color="000000" w:sz="4" w:space="0"/>
            </w:tcBorders>
            <w:vAlign w:val="center"/>
          </w:tcPr>
          <w:p w14:paraId="3CEB87F7">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5"/>
                <w:kern w:val="0"/>
                <w:sz w:val="24"/>
                <w:szCs w:val="24"/>
                <w:lang w:eastAsia="en-US"/>
              </w:rPr>
              <w:t>专</w:t>
            </w:r>
            <w:r>
              <w:rPr>
                <w:rFonts w:hint="eastAsia" w:ascii="宋体" w:hAnsi="宋体" w:cs="宋体"/>
                <w:spacing w:val="7"/>
                <w:kern w:val="0"/>
                <w:sz w:val="24"/>
                <w:szCs w:val="24"/>
                <w:lang w:eastAsia="en-US"/>
              </w:rPr>
              <w:t xml:space="preserve"> </w:t>
            </w:r>
            <w:r>
              <w:rPr>
                <w:rFonts w:hint="eastAsia" w:ascii="宋体" w:hAnsi="宋体" w:cs="宋体"/>
                <w:spacing w:val="7"/>
                <w:kern w:val="0"/>
                <w:sz w:val="24"/>
                <w:szCs w:val="24"/>
                <w:lang w:eastAsia="zh-CN"/>
              </w:rPr>
              <w:t xml:space="preserve"> </w:t>
            </w:r>
            <w:r>
              <w:rPr>
                <w:rFonts w:hint="eastAsia" w:ascii="宋体" w:hAnsi="宋体" w:cs="宋体"/>
                <w:spacing w:val="-5"/>
                <w:kern w:val="0"/>
                <w:sz w:val="24"/>
                <w:szCs w:val="24"/>
                <w:lang w:eastAsia="en-US"/>
              </w:rPr>
              <w:t>业</w:t>
            </w:r>
          </w:p>
        </w:tc>
        <w:tc>
          <w:tcPr>
            <w:tcW w:w="1613" w:type="dxa"/>
            <w:tcBorders>
              <w:top w:val="single" w:color="000000" w:sz="4" w:space="0"/>
              <w:left w:val="single" w:color="000000" w:sz="4" w:space="0"/>
              <w:bottom w:val="single" w:color="000000" w:sz="4" w:space="0"/>
              <w:right w:val="single" w:color="000000" w:sz="4" w:space="0"/>
            </w:tcBorders>
            <w:vAlign w:val="center"/>
          </w:tcPr>
          <w:p w14:paraId="6A118068">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职务/职称</w:t>
            </w:r>
          </w:p>
        </w:tc>
        <w:tc>
          <w:tcPr>
            <w:tcW w:w="807" w:type="dxa"/>
            <w:tcBorders>
              <w:top w:val="single" w:color="000000" w:sz="4" w:space="0"/>
              <w:left w:val="single" w:color="000000" w:sz="4" w:space="0"/>
              <w:bottom w:val="single" w:color="000000" w:sz="4" w:space="0"/>
              <w:right w:val="single" w:color="000000" w:sz="4" w:space="0"/>
            </w:tcBorders>
            <w:vAlign w:val="center"/>
          </w:tcPr>
          <w:p w14:paraId="3EBE1258">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2"/>
                <w:kern w:val="0"/>
                <w:sz w:val="24"/>
                <w:szCs w:val="24"/>
                <w:lang w:eastAsia="en-US"/>
              </w:rPr>
              <w:t>联系电话</w:t>
            </w:r>
          </w:p>
        </w:tc>
        <w:tc>
          <w:tcPr>
            <w:tcW w:w="1412" w:type="dxa"/>
            <w:tcBorders>
              <w:top w:val="single" w:color="000000" w:sz="4" w:space="0"/>
              <w:left w:val="single" w:color="000000" w:sz="4" w:space="0"/>
              <w:bottom w:val="single" w:color="000000" w:sz="4" w:space="0"/>
              <w:right w:val="single" w:color="000000" w:sz="4" w:space="0"/>
            </w:tcBorders>
            <w:vAlign w:val="center"/>
          </w:tcPr>
          <w:p w14:paraId="2441EB9B">
            <w:pPr>
              <w:pageBreakBefore w:val="0"/>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cs="宋体"/>
                <w:kern w:val="0"/>
                <w:sz w:val="24"/>
                <w:szCs w:val="24"/>
                <w:lang w:eastAsia="en-US"/>
              </w:rPr>
            </w:pPr>
            <w:r>
              <w:rPr>
                <w:rFonts w:hint="eastAsia" w:ascii="宋体" w:hAnsi="宋体" w:cs="宋体"/>
                <w:spacing w:val="-5"/>
                <w:kern w:val="0"/>
                <w:sz w:val="24"/>
                <w:szCs w:val="24"/>
                <w:lang w:eastAsia="en-US"/>
              </w:rPr>
              <w:t>签</w:t>
            </w:r>
            <w:r>
              <w:rPr>
                <w:rFonts w:hint="eastAsia" w:ascii="宋体" w:hAnsi="宋体" w:cs="宋体"/>
                <w:spacing w:val="-5"/>
                <w:kern w:val="0"/>
                <w:sz w:val="24"/>
                <w:szCs w:val="24"/>
                <w:lang w:eastAsia="zh-CN"/>
              </w:rPr>
              <w:t xml:space="preserve"> </w:t>
            </w:r>
            <w:r>
              <w:rPr>
                <w:rFonts w:hint="eastAsia" w:ascii="宋体" w:hAnsi="宋体" w:cs="宋体"/>
                <w:spacing w:val="-5"/>
                <w:kern w:val="0"/>
                <w:sz w:val="24"/>
                <w:szCs w:val="24"/>
                <w:lang w:eastAsia="en-US"/>
              </w:rPr>
              <w:t>名</w:t>
            </w:r>
          </w:p>
        </w:tc>
      </w:tr>
      <w:tr w14:paraId="5F050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7FE68C9D">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37E9E1FF">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戴海林</w:t>
            </w:r>
          </w:p>
        </w:tc>
        <w:tc>
          <w:tcPr>
            <w:tcW w:w="1482" w:type="dxa"/>
            <w:tcBorders>
              <w:top w:val="single" w:color="000000" w:sz="4" w:space="0"/>
              <w:left w:val="single" w:color="000000" w:sz="4" w:space="0"/>
              <w:bottom w:val="single" w:color="000000" w:sz="4" w:space="0"/>
              <w:right w:val="single" w:color="000000" w:sz="4" w:space="0"/>
            </w:tcBorders>
            <w:vAlign w:val="center"/>
          </w:tcPr>
          <w:p w14:paraId="58091274">
            <w:pPr>
              <w:pageBreakBefore w:val="0"/>
              <w:widowControl/>
              <w:kinsoku/>
              <w:wordWrap/>
              <w:overflowPunct/>
              <w:topLinePunct w:val="0"/>
              <w:autoSpaceDE w:val="0"/>
              <w:autoSpaceDN w:val="0"/>
              <w:bidi w:val="0"/>
              <w:adjustRightInd w:val="0"/>
              <w:snapToGrid w:val="0"/>
              <w:spacing w:line="240" w:lineRule="atLeast"/>
              <w:ind w:left="0" w:leftChars="0" w:firstLine="0" w:firstLineChars="0"/>
              <w:jc w:val="center"/>
              <w:textAlignment w:val="auto"/>
              <w:rPr>
                <w:rFonts w:ascii="宋体" w:hAnsi="宋体" w:eastAsia="宋体" w:cs="宋体"/>
                <w:color w:val="auto"/>
                <w:kern w:val="0"/>
                <w:sz w:val="24"/>
                <w:szCs w:val="24"/>
                <w:lang w:val="en-US" w:eastAsia="en-US" w:bidi="ar-SA"/>
              </w:rPr>
            </w:pPr>
            <w:r>
              <w:rPr>
                <w:rFonts w:hint="eastAsia" w:ascii="仿宋" w:hAnsi="仿宋" w:eastAsia="仿宋" w:cs="仿宋_GB2312"/>
              </w:rPr>
              <w:t>********</w:t>
            </w:r>
          </w:p>
        </w:tc>
        <w:tc>
          <w:tcPr>
            <w:tcW w:w="2577" w:type="dxa"/>
            <w:tcBorders>
              <w:top w:val="single" w:color="000000" w:sz="4" w:space="0"/>
              <w:left w:val="single" w:color="000000" w:sz="4" w:space="0"/>
              <w:bottom w:val="single" w:color="000000" w:sz="4" w:space="0"/>
              <w:right w:val="single" w:color="000000" w:sz="4" w:space="0"/>
            </w:tcBorders>
            <w:vAlign w:val="center"/>
          </w:tcPr>
          <w:p w14:paraId="6732DCA5">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hint="default"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岩土工程</w:t>
            </w:r>
          </w:p>
        </w:tc>
        <w:tc>
          <w:tcPr>
            <w:tcW w:w="1613" w:type="dxa"/>
            <w:tcBorders>
              <w:top w:val="single" w:color="000000" w:sz="4" w:space="0"/>
              <w:left w:val="single" w:color="000000" w:sz="4" w:space="0"/>
              <w:bottom w:val="single" w:color="000000" w:sz="4" w:space="0"/>
              <w:right w:val="single" w:color="000000" w:sz="4" w:space="0"/>
            </w:tcBorders>
            <w:vAlign w:val="center"/>
          </w:tcPr>
          <w:p w14:paraId="0369684B">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en-US" w:bidi="ar-SA"/>
              </w:rPr>
              <w:t>助理工程师</w:t>
            </w:r>
          </w:p>
        </w:tc>
        <w:tc>
          <w:tcPr>
            <w:tcW w:w="807" w:type="dxa"/>
            <w:tcBorders>
              <w:top w:val="single" w:color="000000" w:sz="4" w:space="0"/>
              <w:left w:val="single" w:color="000000" w:sz="4" w:space="0"/>
              <w:bottom w:val="single" w:color="000000" w:sz="4" w:space="0"/>
              <w:right w:val="single" w:color="000000" w:sz="4" w:space="0"/>
            </w:tcBorders>
            <w:vAlign w:val="center"/>
          </w:tcPr>
          <w:p w14:paraId="7C53D464">
            <w:pPr>
              <w:pageBreakBefore w:val="0"/>
              <w:widowControl/>
              <w:kinsoku/>
              <w:wordWrap/>
              <w:overflowPunct/>
              <w:topLinePunct w:val="0"/>
              <w:autoSpaceDE w:val="0"/>
              <w:autoSpaceDN w:val="0"/>
              <w:bidi w:val="0"/>
              <w:adjustRightInd w:val="0"/>
              <w:snapToGrid w:val="0"/>
              <w:spacing w:line="240" w:lineRule="atLeast"/>
              <w:ind w:left="0" w:leftChars="0" w:firstLine="0" w:firstLineChars="0"/>
              <w:jc w:val="center"/>
              <w:textAlignment w:val="auto"/>
              <w:rPr>
                <w:rFonts w:hint="default" w:ascii="宋体" w:hAnsi="宋体" w:eastAsia="宋体" w:cs="宋体"/>
                <w:color w:val="auto"/>
                <w:kern w:val="0"/>
                <w:sz w:val="24"/>
                <w:szCs w:val="24"/>
                <w:lang w:val="en-US" w:eastAsia="zh-CN" w:bidi="ar-SA"/>
              </w:rPr>
            </w:pPr>
            <w:r>
              <w:rPr>
                <w:rFonts w:hint="eastAsia" w:ascii="仿宋" w:hAnsi="仿宋" w:eastAsia="仿宋" w:cs="仿宋_GB2312"/>
              </w:rPr>
              <w:t>******</w:t>
            </w:r>
          </w:p>
        </w:tc>
        <w:tc>
          <w:tcPr>
            <w:tcW w:w="1412" w:type="dxa"/>
            <w:tcBorders>
              <w:top w:val="single" w:color="000000" w:sz="4" w:space="0"/>
              <w:left w:val="single" w:color="000000" w:sz="4" w:space="0"/>
              <w:bottom w:val="single" w:color="000000" w:sz="4" w:space="0"/>
              <w:right w:val="single" w:color="000000" w:sz="4" w:space="0"/>
            </w:tcBorders>
            <w:vAlign w:val="center"/>
          </w:tcPr>
          <w:p w14:paraId="2260C66C">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en-US" w:bidi="ar-SA"/>
              </w:rPr>
              <w:drawing>
                <wp:anchor distT="0" distB="0" distL="114300" distR="114300" simplePos="0" relativeHeight="251661312" behindDoc="1" locked="0" layoutInCell="1" allowOverlap="1">
                  <wp:simplePos x="0" y="0"/>
                  <wp:positionH relativeFrom="column">
                    <wp:posOffset>0</wp:posOffset>
                  </wp:positionH>
                  <wp:positionV relativeFrom="paragraph">
                    <wp:posOffset>0</wp:posOffset>
                  </wp:positionV>
                  <wp:extent cx="889635" cy="431800"/>
                  <wp:effectExtent l="0" t="0" r="5715" b="6350"/>
                  <wp:wrapNone/>
                  <wp:docPr id="11" name="图片 11" descr="6fff4cc5d07e5f422e3b199fc733c3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6fff4cc5d07e5f422e3b199fc733c3d5"/>
                          <pic:cNvPicPr>
                            <a:picLocks noChangeAspect="1"/>
                          </pic:cNvPicPr>
                        </pic:nvPicPr>
                        <pic:blipFill>
                          <a:blip r:embed="rId16"/>
                          <a:stretch>
                            <a:fillRect/>
                          </a:stretch>
                        </pic:blipFill>
                        <pic:spPr>
                          <a:xfrm>
                            <a:off x="0" y="0"/>
                            <a:ext cx="889635" cy="431800"/>
                          </a:xfrm>
                          <a:prstGeom prst="rect">
                            <a:avLst/>
                          </a:prstGeom>
                        </pic:spPr>
                      </pic:pic>
                    </a:graphicData>
                  </a:graphic>
                </wp:anchor>
              </w:drawing>
            </w:r>
          </w:p>
        </w:tc>
      </w:tr>
      <w:tr w14:paraId="3C0C9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32696AE0">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75B78B3F">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孟群周</w:t>
            </w:r>
          </w:p>
        </w:tc>
        <w:tc>
          <w:tcPr>
            <w:tcW w:w="1482" w:type="dxa"/>
            <w:tcBorders>
              <w:top w:val="single" w:color="000000" w:sz="4" w:space="0"/>
              <w:left w:val="single" w:color="000000" w:sz="4" w:space="0"/>
              <w:bottom w:val="single" w:color="000000" w:sz="4" w:space="0"/>
              <w:right w:val="single" w:color="000000" w:sz="4" w:space="0"/>
            </w:tcBorders>
            <w:vAlign w:val="center"/>
          </w:tcPr>
          <w:p w14:paraId="4618C364">
            <w:pPr>
              <w:pageBreakBefore w:val="0"/>
              <w:widowControl/>
              <w:kinsoku/>
              <w:wordWrap/>
              <w:overflowPunct/>
              <w:topLinePunct w:val="0"/>
              <w:autoSpaceDE w:val="0"/>
              <w:autoSpaceDN w:val="0"/>
              <w:bidi w:val="0"/>
              <w:adjustRightInd w:val="0"/>
              <w:snapToGrid w:val="0"/>
              <w:spacing w:line="240" w:lineRule="atLeast"/>
              <w:ind w:left="0" w:leftChars="0" w:firstLine="0" w:firstLineChars="0"/>
              <w:jc w:val="center"/>
              <w:textAlignment w:val="auto"/>
              <w:rPr>
                <w:rFonts w:ascii="宋体" w:hAnsi="宋体" w:eastAsia="宋体" w:cs="宋体"/>
                <w:color w:val="auto"/>
                <w:kern w:val="0"/>
                <w:sz w:val="24"/>
                <w:szCs w:val="24"/>
                <w:lang w:val="en-US" w:eastAsia="en-US" w:bidi="ar-SA"/>
              </w:rPr>
            </w:pPr>
            <w:r>
              <w:rPr>
                <w:rFonts w:hint="eastAsia" w:ascii="仿宋" w:hAnsi="仿宋" w:eastAsia="仿宋" w:cs="仿宋_GB2312"/>
              </w:rPr>
              <w:t>********</w:t>
            </w:r>
          </w:p>
        </w:tc>
        <w:tc>
          <w:tcPr>
            <w:tcW w:w="2577" w:type="dxa"/>
            <w:tcBorders>
              <w:top w:val="single" w:color="000000" w:sz="4" w:space="0"/>
              <w:left w:val="single" w:color="000000" w:sz="4" w:space="0"/>
              <w:bottom w:val="single" w:color="000000" w:sz="4" w:space="0"/>
              <w:right w:val="single" w:color="000000" w:sz="4" w:space="0"/>
            </w:tcBorders>
            <w:vAlign w:val="center"/>
          </w:tcPr>
          <w:p w14:paraId="12952A3F">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en-US" w:bidi="ar-SA"/>
              </w:rPr>
              <w:t>矿山冶金工程/矿山环保复垦</w:t>
            </w:r>
          </w:p>
        </w:tc>
        <w:tc>
          <w:tcPr>
            <w:tcW w:w="1613" w:type="dxa"/>
            <w:tcBorders>
              <w:top w:val="single" w:color="000000" w:sz="4" w:space="0"/>
              <w:left w:val="single" w:color="000000" w:sz="4" w:space="0"/>
              <w:bottom w:val="single" w:color="000000" w:sz="4" w:space="0"/>
              <w:right w:val="single" w:color="000000" w:sz="4" w:space="0"/>
            </w:tcBorders>
            <w:vAlign w:val="center"/>
          </w:tcPr>
          <w:p w14:paraId="09F5E72E">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en-US" w:bidi="ar-SA"/>
              </w:rPr>
              <w:t>助理工程师</w:t>
            </w:r>
          </w:p>
        </w:tc>
        <w:tc>
          <w:tcPr>
            <w:tcW w:w="807" w:type="dxa"/>
            <w:tcBorders>
              <w:top w:val="single" w:color="000000" w:sz="4" w:space="0"/>
              <w:left w:val="single" w:color="000000" w:sz="4" w:space="0"/>
              <w:bottom w:val="single" w:color="000000" w:sz="4" w:space="0"/>
              <w:right w:val="single" w:color="000000" w:sz="4" w:space="0"/>
            </w:tcBorders>
            <w:vAlign w:val="center"/>
          </w:tcPr>
          <w:p w14:paraId="23B8A3AF">
            <w:pPr>
              <w:pageBreakBefore w:val="0"/>
              <w:widowControl/>
              <w:kinsoku/>
              <w:wordWrap/>
              <w:overflowPunct/>
              <w:topLinePunct w:val="0"/>
              <w:autoSpaceDE w:val="0"/>
              <w:autoSpaceDN w:val="0"/>
              <w:bidi w:val="0"/>
              <w:adjustRightInd w:val="0"/>
              <w:snapToGrid w:val="0"/>
              <w:spacing w:line="240" w:lineRule="atLeast"/>
              <w:ind w:left="0" w:leftChars="0"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en-US" w:bidi="ar-SA"/>
              </w:rPr>
              <w:drawing>
                <wp:anchor distT="0" distB="0" distL="114300" distR="114300" simplePos="0" relativeHeight="251663360" behindDoc="1" locked="0" layoutInCell="1" allowOverlap="1">
                  <wp:simplePos x="0" y="0"/>
                  <wp:positionH relativeFrom="column">
                    <wp:posOffset>407035</wp:posOffset>
                  </wp:positionH>
                  <wp:positionV relativeFrom="paragraph">
                    <wp:posOffset>387985</wp:posOffset>
                  </wp:positionV>
                  <wp:extent cx="956310" cy="452120"/>
                  <wp:effectExtent l="0" t="0" r="15240" b="5080"/>
                  <wp:wrapNone/>
                  <wp:docPr id="13" name="图片 13" descr="ad654361de34c0505edf6dcd7ebfd3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ad654361de34c0505edf6dcd7ebfd30e"/>
                          <pic:cNvPicPr>
                            <a:picLocks noChangeAspect="1"/>
                          </pic:cNvPicPr>
                        </pic:nvPicPr>
                        <pic:blipFill>
                          <a:blip r:embed="rId17"/>
                          <a:stretch>
                            <a:fillRect/>
                          </a:stretch>
                        </pic:blipFill>
                        <pic:spPr>
                          <a:xfrm>
                            <a:off x="0" y="0"/>
                            <a:ext cx="956310" cy="452120"/>
                          </a:xfrm>
                          <a:prstGeom prst="rect">
                            <a:avLst/>
                          </a:prstGeom>
                        </pic:spPr>
                      </pic:pic>
                    </a:graphicData>
                  </a:graphic>
                </wp:anchor>
              </w:drawing>
            </w:r>
            <w:r>
              <w:rPr>
                <w:rFonts w:hint="eastAsia" w:ascii="仿宋" w:hAnsi="仿宋" w:eastAsia="仿宋" w:cs="仿宋_GB2312"/>
              </w:rPr>
              <w:t>******</w:t>
            </w:r>
          </w:p>
        </w:tc>
        <w:tc>
          <w:tcPr>
            <w:tcW w:w="1412" w:type="dxa"/>
            <w:tcBorders>
              <w:top w:val="single" w:color="000000" w:sz="4" w:space="0"/>
              <w:left w:val="single" w:color="000000" w:sz="4" w:space="0"/>
              <w:bottom w:val="single" w:color="000000" w:sz="4" w:space="0"/>
              <w:right w:val="single" w:color="000000" w:sz="4" w:space="0"/>
            </w:tcBorders>
            <w:vAlign w:val="center"/>
          </w:tcPr>
          <w:p w14:paraId="669C41E6">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en-US" w:bidi="ar-SA"/>
              </w:rPr>
              <w:drawing>
                <wp:anchor distT="0" distB="0" distL="114300" distR="114300" simplePos="0" relativeHeight="251662336" behindDoc="1" locked="0" layoutInCell="1" allowOverlap="1">
                  <wp:simplePos x="0" y="0"/>
                  <wp:positionH relativeFrom="column">
                    <wp:posOffset>0</wp:posOffset>
                  </wp:positionH>
                  <wp:positionV relativeFrom="paragraph">
                    <wp:posOffset>0</wp:posOffset>
                  </wp:positionV>
                  <wp:extent cx="868680" cy="542925"/>
                  <wp:effectExtent l="0" t="0" r="7620" b="9525"/>
                  <wp:wrapNone/>
                  <wp:docPr id="12" name="图片 12" descr="761f0ce26ee58348e74bb2d2dc85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761f0ce26ee58348e74bb2d2dc853673"/>
                          <pic:cNvPicPr>
                            <a:picLocks noChangeAspect="1"/>
                          </pic:cNvPicPr>
                        </pic:nvPicPr>
                        <pic:blipFill>
                          <a:blip r:embed="rId18"/>
                          <a:stretch>
                            <a:fillRect/>
                          </a:stretch>
                        </pic:blipFill>
                        <pic:spPr>
                          <a:xfrm>
                            <a:off x="0" y="0"/>
                            <a:ext cx="868680" cy="542925"/>
                          </a:xfrm>
                          <a:prstGeom prst="rect">
                            <a:avLst/>
                          </a:prstGeom>
                        </pic:spPr>
                      </pic:pic>
                    </a:graphicData>
                  </a:graphic>
                </wp:anchor>
              </w:drawing>
            </w:r>
          </w:p>
        </w:tc>
      </w:tr>
      <w:tr w14:paraId="11715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62670DF8">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5588301A">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杨永芳</w:t>
            </w:r>
          </w:p>
        </w:tc>
        <w:tc>
          <w:tcPr>
            <w:tcW w:w="1482" w:type="dxa"/>
            <w:tcBorders>
              <w:top w:val="single" w:color="000000" w:sz="4" w:space="0"/>
              <w:left w:val="single" w:color="000000" w:sz="4" w:space="0"/>
              <w:bottom w:val="single" w:color="000000" w:sz="4" w:space="0"/>
              <w:right w:val="single" w:color="000000" w:sz="4" w:space="0"/>
            </w:tcBorders>
            <w:vAlign w:val="center"/>
          </w:tcPr>
          <w:p w14:paraId="1DFA06A5">
            <w:pPr>
              <w:pageBreakBefore w:val="0"/>
              <w:widowControl/>
              <w:kinsoku/>
              <w:wordWrap/>
              <w:overflowPunct/>
              <w:topLinePunct w:val="0"/>
              <w:autoSpaceDE w:val="0"/>
              <w:autoSpaceDN w:val="0"/>
              <w:bidi w:val="0"/>
              <w:adjustRightInd w:val="0"/>
              <w:snapToGrid w:val="0"/>
              <w:spacing w:line="240" w:lineRule="atLeast"/>
              <w:ind w:left="0" w:leftChars="0" w:firstLine="0" w:firstLineChars="0"/>
              <w:jc w:val="center"/>
              <w:textAlignment w:val="auto"/>
              <w:rPr>
                <w:rFonts w:ascii="宋体" w:hAnsi="宋体" w:eastAsia="宋体" w:cs="宋体"/>
                <w:color w:val="auto"/>
                <w:kern w:val="0"/>
                <w:sz w:val="24"/>
                <w:szCs w:val="24"/>
                <w:lang w:val="en-US" w:eastAsia="en-US" w:bidi="ar-SA"/>
              </w:rPr>
            </w:pPr>
            <w:r>
              <w:rPr>
                <w:rFonts w:hint="eastAsia" w:ascii="仿宋" w:hAnsi="仿宋" w:eastAsia="仿宋" w:cs="仿宋_GB2312"/>
              </w:rPr>
              <w:t>********</w:t>
            </w:r>
          </w:p>
        </w:tc>
        <w:tc>
          <w:tcPr>
            <w:tcW w:w="2577" w:type="dxa"/>
            <w:tcBorders>
              <w:top w:val="single" w:color="000000" w:sz="4" w:space="0"/>
              <w:left w:val="single" w:color="000000" w:sz="4" w:space="0"/>
              <w:bottom w:val="single" w:color="000000" w:sz="4" w:space="0"/>
              <w:right w:val="single" w:color="000000" w:sz="4" w:space="0"/>
            </w:tcBorders>
            <w:vAlign w:val="center"/>
          </w:tcPr>
          <w:p w14:paraId="0AC67AF0">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矿山冶金工程/矿山环保复垦</w:t>
            </w:r>
          </w:p>
        </w:tc>
        <w:tc>
          <w:tcPr>
            <w:tcW w:w="1613" w:type="dxa"/>
            <w:tcBorders>
              <w:top w:val="single" w:color="000000" w:sz="4" w:space="0"/>
              <w:left w:val="single" w:color="000000" w:sz="4" w:space="0"/>
              <w:bottom w:val="single" w:color="000000" w:sz="4" w:space="0"/>
              <w:right w:val="single" w:color="000000" w:sz="4" w:space="0"/>
            </w:tcBorders>
            <w:vAlign w:val="center"/>
          </w:tcPr>
          <w:p w14:paraId="27B402D8">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助理工程师</w:t>
            </w:r>
          </w:p>
        </w:tc>
        <w:tc>
          <w:tcPr>
            <w:tcW w:w="807" w:type="dxa"/>
            <w:tcBorders>
              <w:top w:val="single" w:color="000000" w:sz="4" w:space="0"/>
              <w:left w:val="single" w:color="000000" w:sz="4" w:space="0"/>
              <w:bottom w:val="single" w:color="000000" w:sz="4" w:space="0"/>
              <w:right w:val="single" w:color="000000" w:sz="4" w:space="0"/>
            </w:tcBorders>
            <w:vAlign w:val="center"/>
          </w:tcPr>
          <w:p w14:paraId="7CDE3D59">
            <w:pPr>
              <w:pageBreakBefore w:val="0"/>
              <w:widowControl/>
              <w:kinsoku/>
              <w:wordWrap/>
              <w:overflowPunct/>
              <w:topLinePunct w:val="0"/>
              <w:autoSpaceDE w:val="0"/>
              <w:autoSpaceDN w:val="0"/>
              <w:bidi w:val="0"/>
              <w:adjustRightInd w:val="0"/>
              <w:snapToGrid w:val="0"/>
              <w:spacing w:line="240" w:lineRule="atLeast"/>
              <w:ind w:left="0" w:leftChars="0" w:firstLine="0" w:firstLineChars="0"/>
              <w:jc w:val="center"/>
              <w:textAlignment w:val="auto"/>
              <w:rPr>
                <w:rFonts w:ascii="宋体" w:hAnsi="宋体" w:eastAsia="宋体" w:cs="宋体"/>
                <w:color w:val="auto"/>
                <w:kern w:val="0"/>
                <w:sz w:val="24"/>
                <w:szCs w:val="24"/>
                <w:lang w:val="en-US" w:eastAsia="en-US" w:bidi="ar-SA"/>
              </w:rPr>
            </w:pPr>
            <w:r>
              <w:rPr>
                <w:rFonts w:hint="eastAsia" w:ascii="仿宋" w:hAnsi="仿宋" w:eastAsia="仿宋" w:cs="仿宋_GB2312"/>
              </w:rPr>
              <w:t>******</w:t>
            </w:r>
          </w:p>
        </w:tc>
        <w:tc>
          <w:tcPr>
            <w:tcW w:w="1412" w:type="dxa"/>
            <w:tcBorders>
              <w:top w:val="single" w:color="000000" w:sz="4" w:space="0"/>
              <w:left w:val="single" w:color="000000" w:sz="4" w:space="0"/>
              <w:bottom w:val="single" w:color="000000" w:sz="4" w:space="0"/>
              <w:right w:val="single" w:color="000000" w:sz="4" w:space="0"/>
            </w:tcBorders>
            <w:vAlign w:val="center"/>
          </w:tcPr>
          <w:p w14:paraId="4AD7B049">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hint="eastAsia" w:ascii="宋体" w:hAnsi="宋体" w:eastAsia="宋体" w:cs="宋体"/>
                <w:color w:val="auto"/>
                <w:kern w:val="0"/>
                <w:sz w:val="24"/>
                <w:szCs w:val="24"/>
                <w:lang w:val="en-US" w:eastAsia="zh-CN" w:bidi="ar-SA"/>
              </w:rPr>
            </w:pPr>
          </w:p>
        </w:tc>
      </w:tr>
      <w:tr w14:paraId="25283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jc w:val="center"/>
        </w:trPr>
        <w:tc>
          <w:tcPr>
            <w:tcW w:w="500" w:type="dxa"/>
            <w:vMerge w:val="continue"/>
            <w:tcBorders>
              <w:top w:val="single" w:color="000000" w:sz="4" w:space="0"/>
              <w:left w:val="single" w:color="000000" w:sz="4" w:space="0"/>
              <w:bottom w:val="single" w:color="000000" w:sz="4" w:space="0"/>
              <w:right w:val="single" w:color="000000" w:sz="4" w:space="0"/>
            </w:tcBorders>
            <w:vAlign w:val="center"/>
          </w:tcPr>
          <w:p w14:paraId="07C3FE9D">
            <w:pPr>
              <w:pageBreakBefore w:val="0"/>
              <w:kinsoku/>
              <w:wordWrap/>
              <w:overflowPunct/>
              <w:topLinePunct w:val="0"/>
              <w:autoSpaceDE/>
              <w:autoSpaceDN/>
              <w:bidi w:val="0"/>
              <w:spacing w:line="240" w:lineRule="atLeast"/>
              <w:ind w:firstLine="0" w:firstLineChars="0"/>
              <w:textAlignment w:val="auto"/>
              <w:rPr>
                <w:rFonts w:ascii="宋体" w:hAnsi="宋体" w:cs="宋体"/>
                <w:kern w:val="0"/>
                <w:sz w:val="24"/>
                <w:szCs w:val="24"/>
                <w:lang w:eastAsia="en-US"/>
              </w:rPr>
            </w:pPr>
          </w:p>
        </w:tc>
        <w:tc>
          <w:tcPr>
            <w:tcW w:w="1557" w:type="dxa"/>
            <w:tcBorders>
              <w:top w:val="single" w:color="000000" w:sz="4" w:space="0"/>
              <w:left w:val="single" w:color="000000" w:sz="4" w:space="0"/>
              <w:bottom w:val="single" w:color="000000" w:sz="4" w:space="0"/>
              <w:right w:val="single" w:color="000000" w:sz="4" w:space="0"/>
            </w:tcBorders>
            <w:vAlign w:val="center"/>
          </w:tcPr>
          <w:p w14:paraId="0ECD6B2A">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段发翠</w:t>
            </w:r>
          </w:p>
        </w:tc>
        <w:tc>
          <w:tcPr>
            <w:tcW w:w="1482" w:type="dxa"/>
            <w:tcBorders>
              <w:top w:val="single" w:color="000000" w:sz="4" w:space="0"/>
              <w:left w:val="single" w:color="000000" w:sz="4" w:space="0"/>
              <w:bottom w:val="single" w:color="000000" w:sz="4" w:space="0"/>
              <w:right w:val="single" w:color="000000" w:sz="4" w:space="0"/>
            </w:tcBorders>
            <w:vAlign w:val="center"/>
          </w:tcPr>
          <w:p w14:paraId="635DE9AC">
            <w:pPr>
              <w:pageBreakBefore w:val="0"/>
              <w:widowControl/>
              <w:kinsoku/>
              <w:wordWrap/>
              <w:overflowPunct/>
              <w:topLinePunct w:val="0"/>
              <w:autoSpaceDE w:val="0"/>
              <w:autoSpaceDN w:val="0"/>
              <w:bidi w:val="0"/>
              <w:adjustRightInd w:val="0"/>
              <w:snapToGrid w:val="0"/>
              <w:spacing w:line="240" w:lineRule="atLeast"/>
              <w:ind w:left="0" w:leftChars="0" w:firstLine="0" w:firstLineChars="0"/>
              <w:jc w:val="center"/>
              <w:textAlignment w:val="auto"/>
              <w:rPr>
                <w:rFonts w:ascii="宋体" w:hAnsi="宋体" w:eastAsia="宋体" w:cs="宋体"/>
                <w:color w:val="auto"/>
                <w:kern w:val="0"/>
                <w:sz w:val="24"/>
                <w:szCs w:val="24"/>
                <w:lang w:val="en-US" w:eastAsia="en-US" w:bidi="ar-SA"/>
              </w:rPr>
            </w:pPr>
            <w:r>
              <w:rPr>
                <w:rFonts w:hint="eastAsia" w:ascii="仿宋" w:hAnsi="仿宋" w:eastAsia="仿宋" w:cs="仿宋_GB2312"/>
              </w:rPr>
              <w:t>********</w:t>
            </w:r>
          </w:p>
        </w:tc>
        <w:tc>
          <w:tcPr>
            <w:tcW w:w="2577" w:type="dxa"/>
            <w:tcBorders>
              <w:top w:val="single" w:color="000000" w:sz="4" w:space="0"/>
              <w:left w:val="single" w:color="000000" w:sz="4" w:space="0"/>
              <w:bottom w:val="single" w:color="000000" w:sz="4" w:space="0"/>
              <w:right w:val="single" w:color="000000" w:sz="4" w:space="0"/>
            </w:tcBorders>
            <w:vAlign w:val="center"/>
          </w:tcPr>
          <w:p w14:paraId="586B0DCA">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自然地理与资源环境</w:t>
            </w:r>
          </w:p>
        </w:tc>
        <w:tc>
          <w:tcPr>
            <w:tcW w:w="1613" w:type="dxa"/>
            <w:tcBorders>
              <w:top w:val="single" w:color="000000" w:sz="4" w:space="0"/>
              <w:left w:val="single" w:color="000000" w:sz="4" w:space="0"/>
              <w:bottom w:val="single" w:color="000000" w:sz="4" w:space="0"/>
              <w:right w:val="single" w:color="000000" w:sz="4" w:space="0"/>
            </w:tcBorders>
            <w:vAlign w:val="center"/>
          </w:tcPr>
          <w:p w14:paraId="71308AD9">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ascii="宋体" w:hAnsi="宋体" w:eastAsia="宋体" w:cs="宋体"/>
                <w:color w:val="auto"/>
                <w:kern w:val="0"/>
                <w:sz w:val="24"/>
                <w:szCs w:val="24"/>
                <w:lang w:val="en-US" w:eastAsia="en-US" w:bidi="ar-SA"/>
              </w:rPr>
            </w:pPr>
            <w:r>
              <w:rPr>
                <w:rFonts w:hint="eastAsia" w:ascii="宋体" w:hAnsi="宋体" w:eastAsia="宋体" w:cs="宋体"/>
                <w:color w:val="auto"/>
                <w:kern w:val="0"/>
                <w:sz w:val="24"/>
                <w:szCs w:val="24"/>
                <w:lang w:val="en-US" w:eastAsia="zh-CN" w:bidi="ar-SA"/>
              </w:rPr>
              <w:t>技术员</w:t>
            </w:r>
          </w:p>
        </w:tc>
        <w:tc>
          <w:tcPr>
            <w:tcW w:w="807" w:type="dxa"/>
            <w:tcBorders>
              <w:top w:val="single" w:color="000000" w:sz="4" w:space="0"/>
              <w:left w:val="single" w:color="000000" w:sz="4" w:space="0"/>
              <w:bottom w:val="single" w:color="000000" w:sz="4" w:space="0"/>
              <w:right w:val="single" w:color="000000" w:sz="4" w:space="0"/>
            </w:tcBorders>
            <w:vAlign w:val="center"/>
          </w:tcPr>
          <w:p w14:paraId="0473137E">
            <w:pPr>
              <w:pageBreakBefore w:val="0"/>
              <w:widowControl/>
              <w:kinsoku/>
              <w:wordWrap/>
              <w:overflowPunct/>
              <w:topLinePunct w:val="0"/>
              <w:autoSpaceDE w:val="0"/>
              <w:autoSpaceDN w:val="0"/>
              <w:bidi w:val="0"/>
              <w:adjustRightInd w:val="0"/>
              <w:snapToGrid w:val="0"/>
              <w:spacing w:line="240" w:lineRule="atLeast"/>
              <w:ind w:left="0" w:leftChars="0" w:firstLine="0" w:firstLineChars="0"/>
              <w:jc w:val="center"/>
              <w:textAlignment w:val="auto"/>
              <w:rPr>
                <w:rFonts w:ascii="宋体" w:hAnsi="宋体" w:eastAsia="宋体" w:cs="宋体"/>
                <w:color w:val="auto"/>
                <w:kern w:val="0"/>
                <w:sz w:val="24"/>
                <w:szCs w:val="24"/>
                <w:lang w:val="en-US" w:eastAsia="en-US" w:bidi="ar-SA"/>
              </w:rPr>
            </w:pPr>
            <w:r>
              <w:rPr>
                <w:rFonts w:hint="eastAsia" w:ascii="仿宋" w:hAnsi="仿宋" w:eastAsia="仿宋" w:cs="仿宋_GB2312"/>
              </w:rPr>
              <w:t>******</w:t>
            </w:r>
          </w:p>
        </w:tc>
        <w:tc>
          <w:tcPr>
            <w:tcW w:w="1412" w:type="dxa"/>
            <w:tcBorders>
              <w:top w:val="single" w:color="000000" w:sz="4" w:space="0"/>
              <w:left w:val="single" w:color="000000" w:sz="4" w:space="0"/>
              <w:bottom w:val="single" w:color="000000" w:sz="4" w:space="0"/>
              <w:right w:val="single" w:color="000000" w:sz="4" w:space="0"/>
            </w:tcBorders>
            <w:vAlign w:val="center"/>
          </w:tcPr>
          <w:p w14:paraId="693BFCE2">
            <w:pPr>
              <w:pageBreakBefore w:val="0"/>
              <w:widowControl/>
              <w:kinsoku/>
              <w:wordWrap/>
              <w:overflowPunct/>
              <w:topLinePunct w:val="0"/>
              <w:autoSpaceDE w:val="0"/>
              <w:autoSpaceDN w:val="0"/>
              <w:bidi w:val="0"/>
              <w:adjustRightInd w:val="0"/>
              <w:snapToGrid w:val="0"/>
              <w:spacing w:line="240" w:lineRule="atLeast"/>
              <w:ind w:firstLine="0" w:firstLine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en-US" w:bidi="ar-SA"/>
              </w:rPr>
              <w:drawing>
                <wp:anchor distT="0" distB="0" distL="114300" distR="114300" simplePos="0" relativeHeight="251664384" behindDoc="1" locked="0" layoutInCell="1" allowOverlap="1">
                  <wp:simplePos x="0" y="0"/>
                  <wp:positionH relativeFrom="column">
                    <wp:posOffset>20955</wp:posOffset>
                  </wp:positionH>
                  <wp:positionV relativeFrom="paragraph">
                    <wp:posOffset>29845</wp:posOffset>
                  </wp:positionV>
                  <wp:extent cx="741045" cy="332105"/>
                  <wp:effectExtent l="0" t="0" r="1905" b="10795"/>
                  <wp:wrapNone/>
                  <wp:docPr id="14" name="图片 14" descr="fc8adb2a8fe0f1a2537a7d24c5985c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fc8adb2a8fe0f1a2537a7d24c5985ce1"/>
                          <pic:cNvPicPr>
                            <a:picLocks noChangeAspect="1"/>
                          </pic:cNvPicPr>
                        </pic:nvPicPr>
                        <pic:blipFill>
                          <a:blip r:embed="rId19"/>
                          <a:stretch>
                            <a:fillRect/>
                          </a:stretch>
                        </pic:blipFill>
                        <pic:spPr>
                          <a:xfrm>
                            <a:off x="0" y="0"/>
                            <a:ext cx="741045" cy="332105"/>
                          </a:xfrm>
                          <a:prstGeom prst="rect">
                            <a:avLst/>
                          </a:prstGeom>
                        </pic:spPr>
                      </pic:pic>
                    </a:graphicData>
                  </a:graphic>
                </wp:anchor>
              </w:drawing>
            </w:r>
          </w:p>
        </w:tc>
      </w:tr>
    </w:tbl>
    <w:p w14:paraId="03B20212">
      <w:pPr>
        <w:pageBreakBefore w:val="0"/>
        <w:kinsoku/>
        <w:wordWrap/>
        <w:overflowPunct/>
        <w:topLinePunct w:val="0"/>
        <w:autoSpaceDE w:val="0"/>
        <w:autoSpaceDN w:val="0"/>
        <w:bidi w:val="0"/>
        <w:ind w:firstLine="560"/>
        <w:jc w:val="left"/>
        <w:textAlignment w:val="auto"/>
        <w:rPr>
          <w:rFonts w:hint="eastAsia" w:ascii="宋体" w:hAnsi="宋体" w:eastAsia="宋体" w:cs="宋体"/>
          <w:kern w:val="0"/>
          <w:sz w:val="28"/>
          <w:szCs w:val="22"/>
          <w:lang w:eastAsia="zh-CN"/>
        </w:rPr>
      </w:pPr>
    </w:p>
    <w:tbl>
      <w:tblPr>
        <w:tblStyle w:val="10"/>
        <w:tblW w:w="98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46"/>
      </w:tblGrid>
      <w:tr w14:paraId="5AD7F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8" w:hRule="atLeast"/>
          <w:jc w:val="center"/>
        </w:trPr>
        <w:tc>
          <w:tcPr>
            <w:tcW w:w="9846" w:type="dxa"/>
          </w:tcPr>
          <w:p w14:paraId="4AE553A2">
            <w:pPr>
              <w:keepNext w:val="0"/>
              <w:keepLines w:val="0"/>
              <w:pageBreakBefore w:val="0"/>
              <w:widowControl/>
              <w:kinsoku/>
              <w:wordWrap/>
              <w:overflowPunct/>
              <w:topLinePunct w:val="0"/>
              <w:autoSpaceDE/>
              <w:autoSpaceDN/>
              <w:bidi w:val="0"/>
              <w:adjustRightInd/>
              <w:snapToGrid/>
              <w:spacing w:line="360" w:lineRule="exact"/>
              <w:ind w:firstLine="422" w:firstLineChars="200"/>
              <w:jc w:val="left"/>
              <w:textAlignment w:val="auto"/>
              <w:rPr>
                <w:rFonts w:ascii="仿宋" w:hAnsi="仿宋" w:eastAsia="仿宋"/>
                <w:b/>
                <w:bCs/>
                <w:color w:val="000000"/>
                <w:kern w:val="0"/>
                <w:sz w:val="21"/>
                <w:szCs w:val="21"/>
              </w:rPr>
            </w:pPr>
            <w:r>
              <w:rPr>
                <w:rFonts w:hint="eastAsia" w:ascii="仿宋" w:hAnsi="仿宋" w:eastAsia="仿宋"/>
                <w:b/>
                <w:bCs/>
                <w:color w:val="000000"/>
                <w:kern w:val="0"/>
                <w:sz w:val="21"/>
                <w:szCs w:val="21"/>
              </w:rPr>
              <w:t>一、基本情况</w:t>
            </w:r>
          </w:p>
          <w:p w14:paraId="3265A453">
            <w:pPr>
              <w:keepNext w:val="0"/>
              <w:keepLines w:val="0"/>
              <w:pageBreakBefore w:val="0"/>
              <w:widowControl/>
              <w:kinsoku/>
              <w:wordWrap/>
              <w:overflowPunct/>
              <w:topLinePunct w:val="0"/>
              <w:autoSpaceDE/>
              <w:autoSpaceDN/>
              <w:bidi w:val="0"/>
              <w:adjustRightInd/>
              <w:snapToGrid/>
              <w:spacing w:line="360" w:lineRule="exact"/>
              <w:ind w:firstLine="420" w:firstLineChars="200"/>
              <w:jc w:val="left"/>
              <w:textAlignment w:val="auto"/>
              <w:rPr>
                <w:rFonts w:ascii="宋体" w:hAnsi="宋体" w:cs="宋体"/>
                <w:kern w:val="0"/>
              </w:rPr>
            </w:pPr>
            <w:r>
              <w:rPr>
                <w:rFonts w:hint="eastAsia" w:ascii="仿宋" w:hAnsi="仿宋" w:eastAsia="仿宋"/>
                <w:color w:val="000000"/>
                <w:kern w:val="0"/>
                <w:sz w:val="21"/>
                <w:szCs w:val="21"/>
                <w:lang w:val="en-US" w:eastAsia="zh-CN"/>
              </w:rPr>
              <w:t>本矿山为已建矿山，矿山名称：禄劝民发建材有限责任公司茂龙页岩砖厂；采矿权人：禄劝民发建材有限责任公司；开采矿种：砖瓦用页岩；生产规模：3.24万t/年；矿区面积：0.0176km</w:t>
            </w:r>
            <w:r>
              <w:rPr>
                <w:rFonts w:hint="eastAsia" w:ascii="仿宋" w:hAnsi="仿宋" w:eastAsia="仿宋"/>
                <w:color w:val="000000"/>
                <w:kern w:val="0"/>
                <w:sz w:val="21"/>
                <w:szCs w:val="21"/>
                <w:vertAlign w:val="superscript"/>
                <w:lang w:val="en-US" w:eastAsia="zh-CN"/>
              </w:rPr>
              <w:t>2</w:t>
            </w:r>
            <w:r>
              <w:rPr>
                <w:rFonts w:hint="eastAsia" w:ascii="仿宋" w:hAnsi="仿宋" w:eastAsia="仿宋"/>
                <w:color w:val="000000"/>
                <w:kern w:val="0"/>
                <w:sz w:val="21"/>
                <w:szCs w:val="21"/>
                <w:lang w:val="en-US" w:eastAsia="zh-CN"/>
              </w:rPr>
              <w:t>；开采标高*-*m。矿区位于禄劝彝族苗族自治县57°方向，直线距离约为6.7km，地处禄劝彝族苗族自治县屏山街道茂龙村委会境内，地理坐标（2000国家大地坐标系）：东经*°*′*″-*°*′*″，北纬*°*′*″-*°*′*″，行政区划均属茂龙村委会，矿区有简易矿山公路与之相连，公路里程0.45km，从矿区至茂龙村约2km，至县城屏山街道约15km，禄劝县经武定（G108国道）、昆（明）－武（定）高速至昆明全程为高等级路面，公路里程约为105公里。矿山至昆明公路总里程约为120公里，交通较为便利。</w:t>
            </w:r>
          </w:p>
        </w:tc>
      </w:tr>
      <w:tr w14:paraId="67CD9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6" w:type="dxa"/>
          </w:tcPr>
          <w:p w14:paraId="44F16B80">
            <w:pPr>
              <w:keepNext w:val="0"/>
              <w:keepLines w:val="0"/>
              <w:pageBreakBefore w:val="0"/>
              <w:widowControl/>
              <w:kinsoku/>
              <w:wordWrap/>
              <w:overflowPunct/>
              <w:topLinePunct w:val="0"/>
              <w:autoSpaceDE/>
              <w:autoSpaceDN/>
              <w:bidi w:val="0"/>
              <w:adjustRightInd/>
              <w:snapToGrid/>
              <w:spacing w:line="360" w:lineRule="exact"/>
              <w:ind w:firstLine="422" w:firstLineChars="200"/>
              <w:jc w:val="left"/>
              <w:textAlignment w:val="auto"/>
              <w:rPr>
                <w:rFonts w:hint="eastAsia" w:ascii="仿宋" w:hAnsi="仿宋" w:eastAsia="仿宋"/>
                <w:b/>
                <w:bCs/>
                <w:color w:val="000000"/>
                <w:kern w:val="0"/>
                <w:sz w:val="21"/>
                <w:szCs w:val="21"/>
                <w:lang w:val="en-US" w:eastAsia="zh-CN"/>
              </w:rPr>
            </w:pPr>
            <w:r>
              <w:rPr>
                <w:rFonts w:hint="eastAsia" w:ascii="仿宋" w:hAnsi="仿宋" w:eastAsia="仿宋"/>
                <w:b/>
                <w:bCs/>
                <w:color w:val="000000"/>
                <w:kern w:val="0"/>
                <w:sz w:val="21"/>
                <w:szCs w:val="21"/>
                <w:lang w:val="en-US" w:eastAsia="zh-CN"/>
              </w:rPr>
              <w:t>二、矿区基础调查</w:t>
            </w:r>
          </w:p>
          <w:p w14:paraId="66A093C2">
            <w:pPr>
              <w:keepNext w:val="0"/>
              <w:keepLines w:val="0"/>
              <w:pageBreakBefore w:val="0"/>
              <w:widowControl/>
              <w:kinsoku/>
              <w:wordWrap/>
              <w:overflowPunct/>
              <w:topLinePunct w:val="0"/>
              <w:autoSpaceDE/>
              <w:autoSpaceDN/>
              <w:bidi w:val="0"/>
              <w:adjustRightInd/>
              <w:snapToGrid/>
              <w:spacing w:line="360" w:lineRule="exact"/>
              <w:ind w:firstLine="420" w:firstLineChars="200"/>
              <w:jc w:val="left"/>
              <w:textAlignment w:val="auto"/>
              <w:rPr>
                <w:rFonts w:hint="eastAsia" w:ascii="仿宋" w:hAnsi="仿宋" w:eastAsia="仿宋"/>
                <w:color w:val="000000"/>
                <w:kern w:val="0"/>
                <w:sz w:val="21"/>
                <w:szCs w:val="21"/>
                <w:lang w:val="en-US" w:eastAsia="zh-CN"/>
              </w:rPr>
            </w:pPr>
            <w:r>
              <w:rPr>
                <w:rFonts w:hint="eastAsia" w:ascii="仿宋" w:hAnsi="仿宋" w:eastAsia="仿宋"/>
                <w:color w:val="000000"/>
                <w:kern w:val="0"/>
                <w:sz w:val="21"/>
                <w:szCs w:val="21"/>
                <w:lang w:val="en-US" w:eastAsia="zh-CN"/>
              </w:rPr>
              <w:t>矿区气候属亚热带季风气候区，并呈明显的立体气候特征。平均气温14.8℃，多年平均降雨量1045mm。矿区水系不发育，区内地表径流属普渡河流域，金沙江水系。矿区地处禄劝盆地北部山区，属中切中山缓坡地貌，地面高程变化于*-*m之间，相对高差130m。矿区及附近地区山顶呈浑圆状，山脊长垅状，区内地形起伏较大，一般为15°-30°，局部地段形成陡坎，坡度35°-65°。地形地貌复杂程度总体为简单。矿区土壤以山地黄棕壤为主，局部高海拔区域（2300米以上）少量夹杂山地棕壤，土壤呈典型黄褐色，质地为壤质砂土或砂质壤土，含大量半风化碎石，土层较薄，属于粗骨性强的侵蚀型土壤；酸碱性表现为强酸性（pH值4.5-5.5），盐基饱和度低（10%—30%）。矿区属于亚热带山地针叶－阔叶混交植被带。矿区植被呈现“未受损区域群落完整、受损区域近乎裸地”的显著特征；热带山地常绿阔叶林与云南松林为核心群落，乔木层含云南松、旱冬瓜、油杉等乡土树种，灌木层伴生杜鹃、车桑子、苦刺、火棘，草本层以旱茅、狗牙根、蕨类为主，植被覆盖度＞70%，形成“乔木－灌木－草本”完整分层结构。</w:t>
            </w:r>
          </w:p>
          <w:p w14:paraId="31BE6BAA">
            <w:pPr>
              <w:keepNext w:val="0"/>
              <w:keepLines w:val="0"/>
              <w:pageBreakBefore w:val="0"/>
              <w:widowControl/>
              <w:kinsoku/>
              <w:wordWrap/>
              <w:overflowPunct/>
              <w:topLinePunct w:val="0"/>
              <w:autoSpaceDE/>
              <w:autoSpaceDN/>
              <w:bidi w:val="0"/>
              <w:adjustRightInd/>
              <w:snapToGrid/>
              <w:spacing w:line="360" w:lineRule="exact"/>
              <w:ind w:firstLine="420" w:firstLineChars="200"/>
              <w:jc w:val="left"/>
              <w:textAlignment w:val="auto"/>
              <w:rPr>
                <w:rFonts w:hint="eastAsia" w:ascii="仿宋" w:hAnsi="仿宋" w:eastAsia="仿宋"/>
                <w:color w:val="000000"/>
                <w:kern w:val="0"/>
                <w:sz w:val="21"/>
                <w:szCs w:val="21"/>
                <w:lang w:val="en-US" w:eastAsia="zh-CN"/>
              </w:rPr>
            </w:pPr>
            <w:r>
              <w:rPr>
                <w:rFonts w:hint="eastAsia" w:ascii="仿宋" w:hAnsi="仿宋" w:eastAsia="仿宋"/>
                <w:color w:val="000000"/>
                <w:kern w:val="0"/>
                <w:sz w:val="21"/>
                <w:szCs w:val="21"/>
                <w:lang w:val="en-US" w:eastAsia="zh-CN"/>
              </w:rPr>
              <w:t>本矿山自2021年以来一直处于停产状态，未进行开采。</w:t>
            </w:r>
          </w:p>
          <w:p w14:paraId="4320C4CF">
            <w:pPr>
              <w:keepNext w:val="0"/>
              <w:keepLines w:val="0"/>
              <w:pageBreakBefore w:val="0"/>
              <w:widowControl/>
              <w:kinsoku/>
              <w:wordWrap/>
              <w:overflowPunct/>
              <w:topLinePunct w:val="0"/>
              <w:autoSpaceDE/>
              <w:autoSpaceDN/>
              <w:bidi w:val="0"/>
              <w:adjustRightInd/>
              <w:snapToGrid/>
              <w:spacing w:line="360" w:lineRule="exact"/>
              <w:ind w:firstLine="420" w:firstLineChars="200"/>
              <w:jc w:val="left"/>
              <w:textAlignment w:val="auto"/>
              <w:rPr>
                <w:rFonts w:hint="eastAsia" w:ascii="仿宋" w:hAnsi="仿宋" w:eastAsia="仿宋"/>
                <w:color w:val="000000"/>
                <w:kern w:val="0"/>
                <w:sz w:val="21"/>
                <w:szCs w:val="21"/>
                <w:lang w:val="en-US" w:eastAsia="zh-CN"/>
              </w:rPr>
            </w:pPr>
            <w:r>
              <w:rPr>
                <w:rFonts w:hint="eastAsia" w:ascii="仿宋" w:hAnsi="仿宋" w:eastAsia="仿宋"/>
                <w:color w:val="000000"/>
                <w:kern w:val="0"/>
                <w:sz w:val="21"/>
                <w:szCs w:val="21"/>
                <w:lang w:val="en-US" w:eastAsia="zh-CN"/>
              </w:rPr>
              <w:t>矿山已开采多年，现已形成1个采空区，采空区呈近东西向展布，东西长约200m，南北宽约165m，采空区面积11523m</w:t>
            </w:r>
            <w:r>
              <w:rPr>
                <w:rFonts w:hint="eastAsia" w:ascii="仿宋" w:hAnsi="仿宋" w:eastAsia="仿宋"/>
                <w:color w:val="000000"/>
                <w:kern w:val="0"/>
                <w:sz w:val="21"/>
                <w:szCs w:val="21"/>
                <w:vertAlign w:val="superscript"/>
                <w:lang w:val="en-US" w:eastAsia="zh-CN"/>
              </w:rPr>
              <w:t>2</w:t>
            </w:r>
            <w:r>
              <w:rPr>
                <w:rFonts w:hint="eastAsia" w:ascii="仿宋" w:hAnsi="仿宋" w:eastAsia="仿宋"/>
                <w:color w:val="000000"/>
                <w:kern w:val="0"/>
                <w:sz w:val="21"/>
                <w:szCs w:val="21"/>
                <w:lang w:val="en-US" w:eastAsia="zh-CN"/>
              </w:rPr>
              <w:t>（不含厂区），其中采矿权内面积7690m</w:t>
            </w:r>
            <w:r>
              <w:rPr>
                <w:rFonts w:hint="eastAsia" w:ascii="仿宋" w:hAnsi="仿宋" w:eastAsia="仿宋"/>
                <w:color w:val="000000"/>
                <w:kern w:val="0"/>
                <w:sz w:val="21"/>
                <w:szCs w:val="21"/>
                <w:vertAlign w:val="superscript"/>
                <w:lang w:val="en-US" w:eastAsia="zh-CN"/>
              </w:rPr>
              <w:t>2</w:t>
            </w:r>
            <w:r>
              <w:rPr>
                <w:rFonts w:hint="eastAsia" w:ascii="仿宋" w:hAnsi="仿宋" w:eastAsia="仿宋"/>
                <w:color w:val="000000"/>
                <w:kern w:val="0"/>
                <w:sz w:val="21"/>
                <w:szCs w:val="21"/>
                <w:lang w:val="en-US" w:eastAsia="zh-CN"/>
              </w:rPr>
              <w:t>，采矿权外面积3833m</w:t>
            </w:r>
            <w:r>
              <w:rPr>
                <w:rFonts w:hint="eastAsia" w:ascii="仿宋" w:hAnsi="仿宋" w:eastAsia="仿宋"/>
                <w:color w:val="000000"/>
                <w:kern w:val="0"/>
                <w:sz w:val="21"/>
                <w:szCs w:val="21"/>
                <w:vertAlign w:val="superscript"/>
                <w:lang w:val="en-US" w:eastAsia="zh-CN"/>
              </w:rPr>
              <w:t>2</w:t>
            </w:r>
            <w:r>
              <w:rPr>
                <w:rFonts w:hint="eastAsia" w:ascii="仿宋" w:hAnsi="仿宋" w:eastAsia="仿宋"/>
                <w:color w:val="000000"/>
                <w:kern w:val="0"/>
                <w:sz w:val="21"/>
                <w:szCs w:val="21"/>
                <w:lang w:val="en-US" w:eastAsia="zh-CN"/>
              </w:rPr>
              <w:t>。采坑西侧及南西两侧分别形成开挖边坡各一处。西侧边坡坡向290°，台阶高度一般4—30m，边坡角为30-50°，局部近于直立。边坡周围主要为寒武系下统筇竹寺组（∈1q）灰绿、黑色页岩，局部夹薄层状灰黑色泥质页岩、粉砂岩。现状边坡较稳定，形成至今未诱发过地质灾害，边坡现状整体基本稳定。现状地表建筑主要有办公区（1处）、生活区（1处）、生产加工区（1处）、堆晒场（1个）、门卫室（1个）、矿区公路1条、表土堆（1处）。除生活区存在1处潜在不稳定边坡外，无其他地质灾害分布。</w:t>
            </w:r>
          </w:p>
          <w:p w14:paraId="21DC3F2A">
            <w:pPr>
              <w:keepNext w:val="0"/>
              <w:keepLines w:val="0"/>
              <w:pageBreakBefore w:val="0"/>
              <w:widowControl/>
              <w:kinsoku/>
              <w:wordWrap/>
              <w:overflowPunct/>
              <w:topLinePunct w:val="0"/>
              <w:autoSpaceDE/>
              <w:autoSpaceDN/>
              <w:bidi w:val="0"/>
              <w:adjustRightInd/>
              <w:snapToGrid/>
              <w:spacing w:line="360" w:lineRule="exact"/>
              <w:ind w:firstLine="420" w:firstLineChars="200"/>
              <w:jc w:val="left"/>
              <w:textAlignment w:val="auto"/>
              <w:rPr>
                <w:rFonts w:hint="eastAsia" w:ascii="宋体" w:hAnsi="宋体" w:cs="宋体"/>
                <w:b/>
                <w:bCs/>
                <w:kern w:val="0"/>
                <w:sz w:val="28"/>
                <w:szCs w:val="22"/>
              </w:rPr>
            </w:pPr>
            <w:r>
              <w:rPr>
                <w:rFonts w:hint="eastAsia" w:ascii="仿宋" w:hAnsi="仿宋" w:eastAsia="仿宋"/>
                <w:color w:val="000000"/>
                <w:kern w:val="0"/>
                <w:sz w:val="21"/>
                <w:szCs w:val="21"/>
                <w:lang w:val="en-US" w:eastAsia="zh-CN"/>
              </w:rPr>
              <w:t>矿区现状已损毁区域主要有采空区、办公区、生活区、生产加工区（集制坯车间、焙烧轮窑一体）、堆晒场、门卫室、矿区公路、表土堆等区域，现状损毁面积为3.4599hm²，损毁方式为挖损、压占。矿山现状未开展复垦工程。</w:t>
            </w:r>
          </w:p>
        </w:tc>
      </w:tr>
      <w:tr w14:paraId="7E9EE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9846" w:type="dxa"/>
          </w:tcPr>
          <w:p w14:paraId="620D59DE">
            <w:pPr>
              <w:keepNext w:val="0"/>
              <w:keepLines w:val="0"/>
              <w:pageBreakBefore w:val="0"/>
              <w:widowControl w:val="0"/>
              <w:kinsoku/>
              <w:wordWrap/>
              <w:overflowPunct/>
              <w:topLinePunct w:val="0"/>
              <w:autoSpaceDE w:val="0"/>
              <w:autoSpaceDN w:val="0"/>
              <w:bidi w:val="0"/>
              <w:adjustRightInd/>
              <w:snapToGrid/>
              <w:spacing w:line="360" w:lineRule="exact"/>
              <w:ind w:firstLine="482"/>
              <w:textAlignment w:val="auto"/>
              <w:rPr>
                <w:rFonts w:ascii="宋体" w:hAnsi="宋体" w:cs="宋体"/>
                <w:b/>
                <w:bCs/>
                <w:kern w:val="0"/>
              </w:rPr>
            </w:pPr>
            <w:r>
              <w:rPr>
                <w:rFonts w:hint="eastAsia" w:ascii="仿宋" w:hAnsi="仿宋" w:eastAsia="仿宋"/>
                <w:b/>
                <w:bCs/>
                <w:color w:val="000000"/>
                <w:kern w:val="0"/>
                <w:sz w:val="21"/>
                <w:szCs w:val="21"/>
              </w:rPr>
              <w:t>三、矿区生态环境问题</w:t>
            </w:r>
          </w:p>
          <w:p w14:paraId="3070AA4B">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ascii="宋体" w:hAnsi="宋体" w:cs="宋体"/>
                <w:kern w:val="0"/>
              </w:rPr>
            </w:pPr>
            <w:r>
              <w:rPr>
                <w:rFonts w:hint="eastAsia" w:ascii="仿宋" w:hAnsi="仿宋" w:eastAsia="仿宋"/>
                <w:b/>
                <w:bCs/>
                <w:color w:val="000000"/>
                <w:kern w:val="0"/>
                <w:sz w:val="21"/>
                <w:szCs w:val="21"/>
                <w:lang w:val="en-US" w:eastAsia="zh-CN"/>
              </w:rPr>
              <w:t>受损现状：</w:t>
            </w:r>
            <w:r>
              <w:rPr>
                <w:rFonts w:hint="eastAsia" w:ascii="仿宋" w:hAnsi="仿宋" w:eastAsia="仿宋"/>
                <w:color w:val="000000"/>
                <w:kern w:val="0"/>
                <w:sz w:val="21"/>
                <w:szCs w:val="21"/>
                <w:lang w:val="en-US" w:eastAsia="zh-CN"/>
              </w:rPr>
              <w:t>矿区内现状未发现滑坡、泥石流、崩塌等地质灾害，</w:t>
            </w:r>
            <w:r>
              <w:rPr>
                <w:rFonts w:hint="eastAsia" w:ascii="仿宋" w:hAnsi="仿宋" w:eastAsia="仿宋" w:cs="仿宋"/>
                <w:color w:val="000000" w:themeColor="text1"/>
                <w:kern w:val="0"/>
                <w:sz w:val="21"/>
                <w:szCs w:val="21"/>
                <w14:textFill>
                  <w14:solidFill>
                    <w14:schemeClr w14:val="tx1"/>
                  </w14:solidFill>
                </w14:textFill>
              </w:rPr>
              <w:t>目前未造成过生命财产损失的灾害，其危害性中等，危险性中等。已有的矿业活动对区内原生地形地貌景观影响和破坏程度较严重。现状下未对地表水、生产和生活用水资源构成影响</w:t>
            </w:r>
            <w:r>
              <w:rPr>
                <w:rFonts w:hint="eastAsia" w:ascii="仿宋" w:hAnsi="仿宋" w:eastAsia="仿宋" w:cs="仿宋"/>
                <w:color w:val="000000" w:themeColor="text1"/>
                <w:kern w:val="0"/>
                <w:sz w:val="21"/>
                <w:szCs w:val="21"/>
                <w:lang w:eastAsia="zh-CN"/>
                <w14:textFill>
                  <w14:solidFill>
                    <w14:schemeClr w14:val="tx1"/>
                  </w14:solidFill>
                </w14:textFill>
              </w:rPr>
              <w:t>，</w:t>
            </w:r>
            <w:r>
              <w:rPr>
                <w:rFonts w:hint="eastAsia" w:ascii="仿宋" w:hAnsi="仿宋" w:eastAsia="仿宋" w:cs="仿宋"/>
                <w:color w:val="000000" w:themeColor="text1"/>
                <w:kern w:val="0"/>
                <w:sz w:val="21"/>
                <w:szCs w:val="21"/>
                <w14:textFill>
                  <w14:solidFill>
                    <w14:schemeClr w14:val="tx1"/>
                  </w14:solidFill>
                </w14:textFill>
              </w:rPr>
              <w:t>未对含水</w:t>
            </w:r>
            <w:r>
              <w:rPr>
                <w:rFonts w:hint="eastAsia" w:ascii="仿宋" w:hAnsi="仿宋" w:eastAsia="仿宋" w:cs="仿宋"/>
                <w:color w:val="000000" w:themeColor="text1"/>
                <w:kern w:val="0"/>
                <w:sz w:val="21"/>
                <w:szCs w:val="21"/>
                <w:lang w:val="en-US" w:eastAsia="zh-CN"/>
                <w14:textFill>
                  <w14:solidFill>
                    <w14:schemeClr w14:val="tx1"/>
                  </w14:solidFill>
                </w14:textFill>
              </w:rPr>
              <w:t>层</w:t>
            </w:r>
            <w:r>
              <w:rPr>
                <w:rFonts w:hint="eastAsia" w:ascii="仿宋" w:hAnsi="仿宋" w:eastAsia="仿宋" w:cs="仿宋"/>
                <w:color w:val="000000" w:themeColor="text1"/>
                <w:kern w:val="0"/>
                <w:sz w:val="21"/>
                <w:szCs w:val="21"/>
                <w14:textFill>
                  <w14:solidFill>
                    <w14:schemeClr w14:val="tx1"/>
                  </w14:solidFill>
                </w14:textFill>
              </w:rPr>
              <w:t>结构造成破坏，现状矿业活动对评估区内含水层的影响较轻。历史矿业活动尚未对周边土壤环境造成污染，目前区内土壤环境质量状况良好。损毁地类主要为林地、农村宅基地、农村道路、采矿用地、裸土地，恢复原地类容易，损毁程度综合评估等级为中度</w:t>
            </w:r>
            <w:r>
              <w:rPr>
                <w:rFonts w:hint="eastAsia" w:ascii="仿宋" w:hAnsi="仿宋" w:eastAsia="仿宋" w:cs="仿宋"/>
                <w:color w:val="000000" w:themeColor="text1"/>
                <w:kern w:val="0"/>
                <w:sz w:val="21"/>
                <w:szCs w:val="21"/>
                <w:lang w:eastAsia="zh-CN"/>
                <w14:textFill>
                  <w14:solidFill>
                    <w14:schemeClr w14:val="tx1"/>
                  </w14:solidFill>
                </w14:textFill>
              </w:rPr>
              <w:t>－</w:t>
            </w:r>
            <w:r>
              <w:rPr>
                <w:rFonts w:hint="eastAsia" w:ascii="仿宋" w:hAnsi="仿宋" w:eastAsia="仿宋" w:cs="仿宋"/>
                <w:color w:val="000000" w:themeColor="text1"/>
                <w:kern w:val="0"/>
                <w:sz w:val="21"/>
                <w:szCs w:val="21"/>
                <w14:textFill>
                  <w14:solidFill>
                    <w14:schemeClr w14:val="tx1"/>
                  </w14:solidFill>
                </w14:textFill>
              </w:rPr>
              <w:t>重度。</w:t>
            </w:r>
            <w:r>
              <w:rPr>
                <w:rFonts w:hint="eastAsia" w:ascii="仿宋" w:hAnsi="仿宋" w:eastAsia="仿宋" w:cs="仿宋"/>
                <w:color w:val="000000" w:themeColor="text1"/>
                <w:kern w:val="0"/>
                <w:sz w:val="21"/>
                <w:szCs w:val="21"/>
                <w:lang w:eastAsia="zh-CN"/>
                <w14:textFill>
                  <w14:solidFill>
                    <w14:schemeClr w14:val="tx1"/>
                  </w14:solidFill>
                </w14:textFill>
              </w:rPr>
              <w:t>矿山已损毁土地总面积为3.4599hm²，按土地损毁类型统计，</w:t>
            </w:r>
            <w:bookmarkStart w:id="3" w:name="OLE_LINK335"/>
            <w:r>
              <w:rPr>
                <w:rFonts w:hint="eastAsia" w:ascii="仿宋" w:hAnsi="仿宋" w:eastAsia="仿宋" w:cs="仿宋"/>
                <w:color w:val="000000" w:themeColor="text1"/>
                <w:kern w:val="0"/>
                <w:sz w:val="21"/>
                <w:szCs w:val="21"/>
                <w:lang w:eastAsia="zh-CN"/>
                <w14:textFill>
                  <w14:solidFill>
                    <w14:schemeClr w14:val="tx1"/>
                  </w14:solidFill>
                </w14:textFill>
              </w:rPr>
              <w:t>损毁</w:t>
            </w:r>
            <w:bookmarkStart w:id="4" w:name="OLE_LINK811"/>
            <w:bookmarkStart w:id="5" w:name="OLE_LINK813"/>
            <w:r>
              <w:rPr>
                <w:rFonts w:hint="eastAsia" w:ascii="仿宋" w:hAnsi="仿宋" w:eastAsia="仿宋" w:cs="仿宋"/>
                <w:color w:val="000000" w:themeColor="text1"/>
                <w:kern w:val="0"/>
                <w:sz w:val="21"/>
                <w:szCs w:val="21"/>
                <w:lang w:eastAsia="zh-CN"/>
                <w14:textFill>
                  <w14:solidFill>
                    <w14:schemeClr w14:val="tx1"/>
                  </w14:solidFill>
                </w14:textFill>
              </w:rPr>
              <w:t>乔木林地0.</w:t>
            </w:r>
            <w:r>
              <w:rPr>
                <w:rFonts w:hint="eastAsia" w:ascii="仿宋" w:hAnsi="仿宋" w:eastAsia="仿宋" w:cs="仿宋"/>
                <w:color w:val="000000" w:themeColor="text1"/>
                <w:kern w:val="0"/>
                <w:sz w:val="21"/>
                <w:szCs w:val="21"/>
                <w:lang w:val="en-US" w:eastAsia="zh-CN"/>
                <w14:textFill>
                  <w14:solidFill>
                    <w14:schemeClr w14:val="tx1"/>
                  </w14:solidFill>
                </w14:textFill>
              </w:rPr>
              <w:t>2055</w:t>
            </w:r>
            <w:r>
              <w:rPr>
                <w:rFonts w:hint="eastAsia" w:ascii="仿宋" w:hAnsi="仿宋" w:eastAsia="仿宋" w:cs="仿宋"/>
                <w:color w:val="000000" w:themeColor="text1"/>
                <w:kern w:val="0"/>
                <w:sz w:val="21"/>
                <w:szCs w:val="21"/>
                <w:lang w:eastAsia="zh-CN"/>
                <w14:textFill>
                  <w14:solidFill>
                    <w14:schemeClr w14:val="tx1"/>
                  </w14:solidFill>
                </w14:textFill>
              </w:rPr>
              <w:t>hm</w:t>
            </w:r>
            <w:r>
              <w:rPr>
                <w:rFonts w:hint="eastAsia" w:ascii="仿宋" w:hAnsi="仿宋" w:eastAsia="仿宋" w:cs="仿宋"/>
                <w:color w:val="000000" w:themeColor="text1"/>
                <w:kern w:val="0"/>
                <w:sz w:val="21"/>
                <w:szCs w:val="21"/>
                <w:vertAlign w:val="superscript"/>
                <w:lang w:eastAsia="zh-CN"/>
                <w14:textFill>
                  <w14:solidFill>
                    <w14:schemeClr w14:val="tx1"/>
                  </w14:solidFill>
                </w14:textFill>
              </w:rPr>
              <w:t>2</w:t>
            </w:r>
            <w:r>
              <w:rPr>
                <w:rFonts w:hint="eastAsia" w:ascii="仿宋" w:hAnsi="仿宋" w:eastAsia="仿宋" w:cs="仿宋"/>
                <w:color w:val="000000" w:themeColor="text1"/>
                <w:kern w:val="0"/>
                <w:sz w:val="21"/>
                <w:szCs w:val="21"/>
                <w:lang w:eastAsia="zh-CN"/>
                <w14:textFill>
                  <w14:solidFill>
                    <w14:schemeClr w14:val="tx1"/>
                  </w14:solidFill>
                </w14:textFill>
              </w:rPr>
              <w:t>、</w:t>
            </w:r>
            <w:bookmarkEnd w:id="4"/>
            <w:bookmarkEnd w:id="5"/>
            <w:r>
              <w:rPr>
                <w:rFonts w:hint="eastAsia" w:ascii="仿宋" w:hAnsi="仿宋" w:eastAsia="仿宋" w:cs="仿宋"/>
                <w:color w:val="000000" w:themeColor="text1"/>
                <w:kern w:val="0"/>
                <w:sz w:val="21"/>
                <w:szCs w:val="21"/>
                <w:lang w:eastAsia="zh-CN"/>
                <w14:textFill>
                  <w14:solidFill>
                    <w14:schemeClr w14:val="tx1"/>
                  </w14:solidFill>
                </w14:textFill>
              </w:rPr>
              <w:t>采矿用地2.</w:t>
            </w:r>
            <w:r>
              <w:rPr>
                <w:rFonts w:hint="eastAsia" w:ascii="仿宋" w:hAnsi="仿宋" w:eastAsia="仿宋" w:cs="仿宋"/>
                <w:color w:val="000000" w:themeColor="text1"/>
                <w:kern w:val="0"/>
                <w:sz w:val="21"/>
                <w:szCs w:val="21"/>
                <w:lang w:val="en-US" w:eastAsia="zh-CN"/>
                <w14:textFill>
                  <w14:solidFill>
                    <w14:schemeClr w14:val="tx1"/>
                  </w14:solidFill>
                </w14:textFill>
              </w:rPr>
              <w:t>9788</w:t>
            </w:r>
            <w:r>
              <w:rPr>
                <w:rFonts w:hint="eastAsia" w:ascii="仿宋" w:hAnsi="仿宋" w:eastAsia="仿宋" w:cs="仿宋"/>
                <w:color w:val="000000" w:themeColor="text1"/>
                <w:kern w:val="0"/>
                <w:sz w:val="21"/>
                <w:szCs w:val="21"/>
                <w:lang w:eastAsia="zh-CN"/>
                <w14:textFill>
                  <w14:solidFill>
                    <w14:schemeClr w14:val="tx1"/>
                  </w14:solidFill>
                </w14:textFill>
              </w:rPr>
              <w:t>hm</w:t>
            </w:r>
            <w:r>
              <w:rPr>
                <w:rFonts w:hint="eastAsia" w:ascii="仿宋" w:hAnsi="仿宋" w:eastAsia="仿宋" w:cs="仿宋"/>
                <w:color w:val="000000" w:themeColor="text1"/>
                <w:kern w:val="0"/>
                <w:sz w:val="21"/>
                <w:szCs w:val="21"/>
                <w:vertAlign w:val="superscript"/>
                <w:lang w:eastAsia="zh-CN"/>
                <w14:textFill>
                  <w14:solidFill>
                    <w14:schemeClr w14:val="tx1"/>
                  </w14:solidFill>
                </w14:textFill>
              </w:rPr>
              <w:t>2</w:t>
            </w:r>
            <w:bookmarkEnd w:id="3"/>
            <w:r>
              <w:rPr>
                <w:rFonts w:hint="eastAsia" w:ascii="仿宋" w:hAnsi="仿宋" w:eastAsia="仿宋" w:cs="仿宋"/>
                <w:color w:val="000000" w:themeColor="text1"/>
                <w:kern w:val="0"/>
                <w:sz w:val="21"/>
                <w:szCs w:val="21"/>
                <w:vertAlign w:val="baseline"/>
                <w:lang w:eastAsia="zh-CN"/>
                <w14:textFill>
                  <w14:solidFill>
                    <w14:schemeClr w14:val="tx1"/>
                  </w14:solidFill>
                </w14:textFill>
              </w:rPr>
              <w:t>、</w:t>
            </w:r>
            <w:r>
              <w:rPr>
                <w:rFonts w:hint="eastAsia" w:ascii="仿宋" w:hAnsi="仿宋" w:eastAsia="仿宋" w:cs="仿宋"/>
                <w:color w:val="000000" w:themeColor="text1"/>
                <w:kern w:val="0"/>
                <w:sz w:val="21"/>
                <w:szCs w:val="21"/>
                <w:vertAlign w:val="baseline"/>
                <w:lang w:val="en-US" w:eastAsia="zh-CN"/>
                <w14:textFill>
                  <w14:solidFill>
                    <w14:schemeClr w14:val="tx1"/>
                  </w14:solidFill>
                </w14:textFill>
              </w:rPr>
              <w:t>农村宅基地0.1267hm</w:t>
            </w:r>
            <w:r>
              <w:rPr>
                <w:rFonts w:hint="eastAsia" w:ascii="仿宋" w:hAnsi="仿宋" w:eastAsia="仿宋" w:cs="仿宋"/>
                <w:color w:val="000000" w:themeColor="text1"/>
                <w:kern w:val="0"/>
                <w:sz w:val="21"/>
                <w:szCs w:val="21"/>
                <w:vertAlign w:val="superscript"/>
                <w:lang w:val="en-US" w:eastAsia="zh-CN"/>
                <w14:textFill>
                  <w14:solidFill>
                    <w14:schemeClr w14:val="tx1"/>
                  </w14:solidFill>
                </w14:textFill>
              </w:rPr>
              <w:t>2</w:t>
            </w:r>
            <w:r>
              <w:rPr>
                <w:rFonts w:hint="eastAsia" w:ascii="仿宋" w:hAnsi="仿宋" w:eastAsia="仿宋" w:cs="仿宋"/>
                <w:color w:val="000000" w:themeColor="text1"/>
                <w:kern w:val="0"/>
                <w:sz w:val="21"/>
                <w:szCs w:val="21"/>
                <w:vertAlign w:val="baseline"/>
                <w:lang w:val="en-US" w:eastAsia="zh-CN"/>
                <w14:textFill>
                  <w14:solidFill>
                    <w14:schemeClr w14:val="tx1"/>
                  </w14:solidFill>
                </w14:textFill>
              </w:rPr>
              <w:t>、农村道路0.1489hm</w:t>
            </w:r>
            <w:r>
              <w:rPr>
                <w:rFonts w:hint="eastAsia" w:ascii="仿宋" w:hAnsi="仿宋" w:eastAsia="仿宋" w:cs="仿宋"/>
                <w:color w:val="000000" w:themeColor="text1"/>
                <w:kern w:val="0"/>
                <w:sz w:val="21"/>
                <w:szCs w:val="21"/>
                <w:vertAlign w:val="superscript"/>
                <w:lang w:val="en-US" w:eastAsia="zh-CN"/>
                <w14:textFill>
                  <w14:solidFill>
                    <w14:schemeClr w14:val="tx1"/>
                  </w14:solidFill>
                </w14:textFill>
              </w:rPr>
              <w:t>2</w:t>
            </w:r>
            <w:r>
              <w:rPr>
                <w:rFonts w:hint="eastAsia" w:ascii="仿宋" w:hAnsi="仿宋" w:eastAsia="仿宋" w:cs="仿宋"/>
                <w:color w:val="000000" w:themeColor="text1"/>
                <w:kern w:val="0"/>
                <w:sz w:val="21"/>
                <w:szCs w:val="21"/>
                <w:lang w:eastAsia="zh-CN"/>
                <w14:textFill>
                  <w14:solidFill>
                    <w14:schemeClr w14:val="tx1"/>
                  </w14:solidFill>
                </w14:textFill>
              </w:rPr>
              <w:t>；土地损毁达3.4599hm²，以挖损、压占为主，损毁程度为中度－重度；生态系统完整性遭破坏，原生植被覆盖度不足30%，生物多样性显著下降，生态服务功能弱化，土壤结构受影响。预测方面，露天开采可能引发中度地质灾害风险，拟新增土地损毁0.1897hm²，生态破坏将进一步加剧。经诊断，矿区重度影响区占91.71%，核心问题集中于露天采空区潜在不稳定边坡。通过边坡危岩清理，结合“边开采、边修复”模式，生态修复具备技术与经济可行性，划定9个二级修复区块，总面积3.6496hm²。</w:t>
            </w:r>
          </w:p>
          <w:p w14:paraId="7562C231">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ascii="宋体" w:hAnsi="宋体" w:cs="宋体"/>
                <w:kern w:val="0"/>
                <w:sz w:val="28"/>
                <w:szCs w:val="22"/>
              </w:rPr>
            </w:pPr>
            <w:r>
              <w:rPr>
                <w:rFonts w:hint="eastAsia" w:ascii="仿宋" w:hAnsi="仿宋" w:eastAsia="仿宋" w:cs="仿宋"/>
                <w:b/>
                <w:bCs/>
                <w:color w:val="000000" w:themeColor="text1"/>
                <w:kern w:val="0"/>
                <w:sz w:val="21"/>
                <w:szCs w:val="21"/>
                <w:lang w:val="en-US" w:eastAsia="zh-CN"/>
                <w14:textFill>
                  <w14:solidFill>
                    <w14:schemeClr w14:val="tx1"/>
                  </w14:solidFill>
                </w14:textFill>
              </w:rPr>
              <w:t>受损预测：</w:t>
            </w:r>
            <w:r>
              <w:rPr>
                <w:rFonts w:hint="eastAsia" w:ascii="仿宋" w:hAnsi="仿宋" w:eastAsia="仿宋" w:cs="仿宋"/>
                <w:color w:val="000000" w:themeColor="text1"/>
                <w:kern w:val="0"/>
                <w:sz w:val="21"/>
                <w:szCs w:val="21"/>
                <w:lang w:val="en-US" w:eastAsia="zh-CN"/>
                <w14:textFill>
                  <w14:solidFill>
                    <w14:schemeClr w14:val="tx1"/>
                  </w14:solidFill>
                </w14:textFill>
              </w:rPr>
              <w:t>矿区现状分布两处潜在不稳定边坡BW1、BW2，可能遭受来自坡面岩土体垮塌等地质灾害的可能性中等，其危险性中等，危害性中等。矿区所处地段为一山脊部位，远离村庄，矿区周边最近村庄清龙潭距离矿区约930m，矿山采矿活动距离村庄较远，故采矿活动对村庄影响较小。后期破坏区域大部分与现状重叠，新增破坏面积不大，预测矿业活动对区内原生地形地貌景观影响和破坏程度较轻。矿区拟损毁区域为拟开拓矿区道路区域和露天采场区域，其中拟开拓矿区道路区拟损毁面积为0.1265hm</w:t>
            </w:r>
            <w:r>
              <w:rPr>
                <w:rFonts w:hint="eastAsia" w:ascii="仿宋" w:hAnsi="仿宋" w:eastAsia="仿宋" w:cs="仿宋"/>
                <w:color w:val="000000" w:themeColor="text1"/>
                <w:kern w:val="0"/>
                <w:sz w:val="21"/>
                <w:szCs w:val="21"/>
                <w:vertAlign w:val="superscript"/>
                <w:lang w:val="en-US" w:eastAsia="zh-CN"/>
                <w14:textFill>
                  <w14:solidFill>
                    <w14:schemeClr w14:val="tx1"/>
                  </w14:solidFill>
                </w14:textFill>
              </w:rPr>
              <w:t>2</w:t>
            </w:r>
            <w:r>
              <w:rPr>
                <w:rFonts w:hint="eastAsia" w:ascii="仿宋" w:hAnsi="仿宋" w:eastAsia="仿宋" w:cs="仿宋"/>
                <w:color w:val="000000" w:themeColor="text1"/>
                <w:kern w:val="0"/>
                <w:sz w:val="21"/>
                <w:szCs w:val="21"/>
                <w:lang w:val="en-US" w:eastAsia="zh-CN"/>
                <w14:textFill>
                  <w14:solidFill>
                    <w14:schemeClr w14:val="tx1"/>
                  </w14:solidFill>
                </w14:textFill>
              </w:rPr>
              <w:t>，损毁方式为压占，损毁程度轻度；露天采场拟开采损毁面积为0.0632hm</w:t>
            </w:r>
            <w:r>
              <w:rPr>
                <w:rFonts w:hint="eastAsia" w:ascii="仿宋" w:hAnsi="仿宋" w:eastAsia="仿宋" w:cs="仿宋"/>
                <w:color w:val="000000" w:themeColor="text1"/>
                <w:kern w:val="0"/>
                <w:sz w:val="21"/>
                <w:szCs w:val="21"/>
                <w:vertAlign w:val="superscript"/>
                <w:lang w:val="en-US" w:eastAsia="zh-CN"/>
                <w14:textFill>
                  <w14:solidFill>
                    <w14:schemeClr w14:val="tx1"/>
                  </w14:solidFill>
                </w14:textFill>
              </w:rPr>
              <w:t>2</w:t>
            </w:r>
            <w:r>
              <w:rPr>
                <w:rFonts w:hint="eastAsia" w:ascii="仿宋" w:hAnsi="仿宋" w:eastAsia="仿宋" w:cs="仿宋"/>
                <w:color w:val="000000" w:themeColor="text1"/>
                <w:kern w:val="0"/>
                <w:sz w:val="21"/>
                <w:szCs w:val="21"/>
                <w:lang w:val="en-US" w:eastAsia="zh-CN"/>
                <w14:textFill>
                  <w14:solidFill>
                    <w14:schemeClr w14:val="tx1"/>
                  </w14:solidFill>
                </w14:textFill>
              </w:rPr>
              <w:t>，损毁方式为挖损，损毁程度重度。</w:t>
            </w:r>
          </w:p>
        </w:tc>
      </w:tr>
      <w:tr w14:paraId="4CF62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1" w:hRule="atLeast"/>
          <w:jc w:val="center"/>
        </w:trPr>
        <w:tc>
          <w:tcPr>
            <w:tcW w:w="9846" w:type="dxa"/>
          </w:tcPr>
          <w:p w14:paraId="60CB6CCC">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b/>
                <w:bCs/>
                <w:color w:val="000000" w:themeColor="text1"/>
                <w:kern w:val="0"/>
                <w:sz w:val="21"/>
                <w:szCs w:val="21"/>
                <w:lang w:val="en-US" w:eastAsia="zh-CN"/>
                <w14:textFill>
                  <w14:solidFill>
                    <w14:schemeClr w14:val="tx1"/>
                  </w14:solidFill>
                </w14:textFill>
              </w:rPr>
            </w:pPr>
            <w:r>
              <w:rPr>
                <w:rFonts w:hint="eastAsia" w:ascii="仿宋" w:hAnsi="仿宋" w:eastAsia="仿宋" w:cs="仿宋"/>
                <w:b/>
                <w:bCs/>
                <w:color w:val="000000" w:themeColor="text1"/>
                <w:kern w:val="0"/>
                <w:sz w:val="21"/>
                <w:szCs w:val="21"/>
                <w:lang w:val="en-US" w:eastAsia="zh-CN"/>
                <w14:textFill>
                  <w14:solidFill>
                    <w14:schemeClr w14:val="tx1"/>
                  </w14:solidFill>
                </w14:textFill>
              </w:rPr>
              <w:t>四、矿区生态修复措施与工程设计</w:t>
            </w:r>
          </w:p>
          <w:p w14:paraId="31A7AB4D">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ascii="宋体" w:hAnsi="宋体" w:cs="宋体"/>
                <w:kern w:val="0"/>
                <w:sz w:val="28"/>
                <w:szCs w:val="22"/>
              </w:rPr>
            </w:pPr>
            <w:r>
              <w:rPr>
                <w:rFonts w:hint="eastAsia" w:ascii="仿宋" w:hAnsi="仿宋" w:eastAsia="仿宋" w:cs="仿宋"/>
                <w:color w:val="000000" w:themeColor="text1"/>
                <w:kern w:val="0"/>
                <w:sz w:val="21"/>
                <w:szCs w:val="21"/>
                <w:lang w:val="en-US" w:eastAsia="zh-CN"/>
                <w14:textFill>
                  <w14:solidFill>
                    <w14:schemeClr w14:val="tx1"/>
                  </w14:solidFill>
                </w14:textFill>
              </w:rPr>
              <w:t>矿山地质环境治理：1、警示标牌14块（采空区、边坡区等关键区域），边坡区安全防护网327m、表土剥离773.4m³。2、边坡危岩清理914.81m³、场地平整3408.9m³、废弃建筑拆除664.11m³、地坪拆除661.72m³、场地硬化拆除381.20m³、回填弃渣1707.03m³；场地平整3282.9m³。3、表土回覆6565.80m³、土壤培肥2.1886hm²（有机肥200kg/hm²、复合肥25 kg/hm²）。4、乔木云南松3725株、旱冬瓜2293株，株行距（2m×2m）、灌木火棘2293株、车桑子3725株，株行距（2m×2m）、藤本2452株（葛藤、爬山虎各1226株）、草本2.3153hm²（狗牙根+旱茅1:1混播）（含生活区简易复垦0.1267hm²）。5、廊道路床压实1216.62m</w:t>
            </w:r>
            <w:r>
              <w:rPr>
                <w:rFonts w:hint="eastAsia" w:ascii="仿宋" w:hAnsi="仿宋" w:eastAsia="仿宋" w:cs="仿宋"/>
                <w:color w:val="000000" w:themeColor="text1"/>
                <w:kern w:val="0"/>
                <w:sz w:val="21"/>
                <w:szCs w:val="21"/>
                <w:vertAlign w:val="superscript"/>
                <w:lang w:val="en-US" w:eastAsia="zh-CN"/>
                <w14:textFill>
                  <w14:solidFill>
                    <w14:schemeClr w14:val="tx1"/>
                  </w14:solidFill>
                </w14:textFill>
              </w:rPr>
              <w:t>2</w:t>
            </w:r>
            <w:r>
              <w:rPr>
                <w:rFonts w:hint="eastAsia" w:ascii="仿宋" w:hAnsi="仿宋" w:eastAsia="仿宋" w:cs="仿宋"/>
                <w:color w:val="000000" w:themeColor="text1"/>
                <w:kern w:val="0"/>
                <w:sz w:val="21"/>
                <w:szCs w:val="21"/>
                <w:lang w:val="en-US" w:eastAsia="zh-CN"/>
                <w14:textFill>
                  <w14:solidFill>
                    <w14:schemeClr w14:val="tx1"/>
                  </w14:solidFill>
                </w14:textFill>
              </w:rPr>
              <w:t>（农村道路）。6、监测点14处（含地质、土壤、水质、植被）、8年监测周期；3年管护（除草、防虫、补植、设施维护）。</w:t>
            </w:r>
          </w:p>
        </w:tc>
      </w:tr>
      <w:tr w14:paraId="0EE3B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9846" w:type="dxa"/>
          </w:tcPr>
          <w:p w14:paraId="4A7770AF">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b/>
                <w:bCs/>
                <w:color w:val="000000" w:themeColor="text1"/>
                <w:kern w:val="0"/>
                <w:sz w:val="21"/>
                <w:szCs w:val="21"/>
                <w:lang w:val="en-US" w:eastAsia="zh-CN"/>
                <w14:textFill>
                  <w14:solidFill>
                    <w14:schemeClr w14:val="tx1"/>
                  </w14:solidFill>
                </w14:textFill>
              </w:rPr>
            </w:pPr>
            <w:r>
              <w:rPr>
                <w:rFonts w:hint="eastAsia" w:ascii="仿宋" w:hAnsi="仿宋" w:eastAsia="仿宋" w:cs="仿宋"/>
                <w:b/>
                <w:bCs/>
                <w:color w:val="000000" w:themeColor="text1"/>
                <w:kern w:val="0"/>
                <w:sz w:val="21"/>
                <w:szCs w:val="21"/>
                <w:lang w:val="en-US" w:eastAsia="zh-CN"/>
                <w14:textFill>
                  <w14:solidFill>
                    <w14:schemeClr w14:val="tx1"/>
                  </w14:solidFill>
                </w14:textFill>
              </w:rPr>
              <w:t>五、工程部署</w:t>
            </w:r>
          </w:p>
          <w:p w14:paraId="0C03A62E">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矿山生态修复工程部署分三个阶段开展，第一阶段（2026年10月—2030年10月），第二阶段（2030年10月—2031年10月），第三阶段（2031年10月—2034年10月）。</w:t>
            </w:r>
          </w:p>
          <w:p w14:paraId="4B260856">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b/>
                <w:bCs/>
                <w:color w:val="000000" w:themeColor="text1"/>
                <w:kern w:val="0"/>
                <w:sz w:val="21"/>
                <w:szCs w:val="21"/>
                <w:lang w:val="en-US" w:eastAsia="zh-CN"/>
                <w14:textFill>
                  <w14:solidFill>
                    <w14:schemeClr w14:val="tx1"/>
                  </w14:solidFill>
                </w14:textFill>
              </w:rPr>
            </w:pPr>
            <w:r>
              <w:rPr>
                <w:rFonts w:hint="eastAsia" w:ascii="仿宋" w:hAnsi="仿宋" w:eastAsia="仿宋" w:cs="仿宋"/>
                <w:b/>
                <w:bCs/>
                <w:color w:val="000000" w:themeColor="text1"/>
                <w:kern w:val="0"/>
                <w:sz w:val="21"/>
                <w:szCs w:val="21"/>
                <w:lang w:val="en-US" w:eastAsia="zh-CN"/>
                <w14:textFill>
                  <w14:solidFill>
                    <w14:schemeClr w14:val="tx1"/>
                  </w14:solidFill>
                </w14:textFill>
              </w:rPr>
              <w:t>1、第一阶段：2026年10月—2030年10月</w:t>
            </w:r>
          </w:p>
          <w:p w14:paraId="2370E133">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第一年（2026年10月—2027年10月）</w:t>
            </w:r>
          </w:p>
          <w:p w14:paraId="36144549">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目标：消除界外采场及露天采场潜在不稳定边坡风险，完成界外采场土壤重构与植被重建。</w:t>
            </w:r>
          </w:p>
          <w:p w14:paraId="1B36FC71">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涉及修复区块：界外采场（采矿权外）、露天采场。</w:t>
            </w:r>
          </w:p>
          <w:p w14:paraId="59BDDA44">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任务：界外采场采空区、BW1、BW2危岩清理，消除直接安全隐患；</w:t>
            </w:r>
          </w:p>
          <w:p w14:paraId="48F18259">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基础整治：界外采场场地平整；</w:t>
            </w:r>
          </w:p>
          <w:p w14:paraId="033660F9">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主要工程量：</w:t>
            </w:r>
          </w:p>
          <w:p w14:paraId="14EE391A">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场地整治：危岩清理914.81m³、场地平整249.6m³；</w:t>
            </w:r>
          </w:p>
          <w:p w14:paraId="67850DD8">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土壤重构：表土回覆499.2m³、土壤培肥0.1664hm²；</w:t>
            </w:r>
          </w:p>
          <w:p w14:paraId="429E476E">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植被重建：乔木云南松栽植457株、灌木车桑子栽植457株、藤本栽植530株、草本撒播0.1664hm²（狗牙根+旱茅1:1混播）；</w:t>
            </w:r>
          </w:p>
          <w:p w14:paraId="0DDFB33E">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实施安排：2026年10-2027年2月（危岩清理）；2027年2-7月开展土壤重构（回覆+培肥）与植被重建（春季栽植，成活率更高）；2027年7-9月完成监测防护工程与阶段验收，雨季（5-10月）同步做好植被养护与临时排水。</w:t>
            </w:r>
          </w:p>
          <w:p w14:paraId="148AF81B">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第二年（2027年10月-2028年10月）</w:t>
            </w:r>
          </w:p>
          <w:p w14:paraId="198FBE2F">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目标：生产期，消除界外采场及露天采场潜在不稳定边坡风险，对已修复区进行管护监测。</w:t>
            </w:r>
          </w:p>
          <w:p w14:paraId="17DE771F">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涉及修复区块：界外采场（采矿权外）、露天采场。</w:t>
            </w:r>
          </w:p>
          <w:p w14:paraId="7BA63A6B">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任务：对边坡进行保护与预防控制、监测工程；</w:t>
            </w:r>
          </w:p>
          <w:p w14:paraId="5CF9E3EA">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主要工程量：</w:t>
            </w:r>
          </w:p>
          <w:p w14:paraId="6D04D5CD">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边坡防护：防护网制作安装478m；土方开挖34.13m</w:t>
            </w:r>
            <w:r>
              <w:rPr>
                <w:rFonts w:hint="eastAsia" w:ascii="仿宋" w:hAnsi="仿宋" w:eastAsia="仿宋" w:cs="仿宋"/>
                <w:color w:val="000000" w:themeColor="text1"/>
                <w:kern w:val="0"/>
                <w:sz w:val="21"/>
                <w:szCs w:val="21"/>
                <w:vertAlign w:val="superscript"/>
                <w:lang w:val="en-US" w:eastAsia="zh-CN"/>
                <w14:textFill>
                  <w14:solidFill>
                    <w14:schemeClr w14:val="tx1"/>
                  </w14:solidFill>
                </w14:textFill>
              </w:rPr>
              <w:t>3</w:t>
            </w:r>
            <w:r>
              <w:rPr>
                <w:rFonts w:hint="eastAsia" w:ascii="仿宋" w:hAnsi="仿宋" w:eastAsia="仿宋" w:cs="仿宋"/>
                <w:color w:val="000000" w:themeColor="text1"/>
                <w:kern w:val="0"/>
                <w:sz w:val="21"/>
                <w:szCs w:val="21"/>
                <w:lang w:val="en-US" w:eastAsia="zh-CN"/>
                <w14:textFill>
                  <w14:solidFill>
                    <w14:schemeClr w14:val="tx1"/>
                  </w14:solidFill>
                </w14:textFill>
              </w:rPr>
              <w:t>、土方回填13.81m</w:t>
            </w:r>
            <w:r>
              <w:rPr>
                <w:rFonts w:hint="eastAsia" w:ascii="仿宋" w:hAnsi="仿宋" w:eastAsia="仿宋" w:cs="仿宋"/>
                <w:color w:val="000000" w:themeColor="text1"/>
                <w:kern w:val="0"/>
                <w:sz w:val="21"/>
                <w:szCs w:val="21"/>
                <w:vertAlign w:val="superscript"/>
                <w:lang w:val="en-US" w:eastAsia="zh-CN"/>
                <w14:textFill>
                  <w14:solidFill>
                    <w14:schemeClr w14:val="tx1"/>
                  </w14:solidFill>
                </w14:textFill>
              </w:rPr>
              <w:t>3</w:t>
            </w:r>
            <w:r>
              <w:rPr>
                <w:rFonts w:hint="eastAsia" w:ascii="仿宋" w:hAnsi="仿宋" w:eastAsia="仿宋" w:cs="仿宋"/>
                <w:color w:val="000000" w:themeColor="text1"/>
                <w:kern w:val="0"/>
                <w:sz w:val="21"/>
                <w:szCs w:val="21"/>
                <w:lang w:val="en-US" w:eastAsia="zh-CN"/>
                <w14:textFill>
                  <w14:solidFill>
                    <w14:schemeClr w14:val="tx1"/>
                  </w14:solidFill>
                </w14:textFill>
              </w:rPr>
              <w:t>、混凝土浇筑20.32m</w:t>
            </w:r>
            <w:r>
              <w:rPr>
                <w:rFonts w:hint="eastAsia" w:ascii="仿宋" w:hAnsi="仿宋" w:eastAsia="仿宋" w:cs="仿宋"/>
                <w:color w:val="000000" w:themeColor="text1"/>
                <w:kern w:val="0"/>
                <w:sz w:val="21"/>
                <w:szCs w:val="21"/>
                <w:vertAlign w:val="superscript"/>
                <w:lang w:val="en-US" w:eastAsia="zh-CN"/>
                <w14:textFill>
                  <w14:solidFill>
                    <w14:schemeClr w14:val="tx1"/>
                  </w14:solidFill>
                </w14:textFill>
              </w:rPr>
              <w:t>3</w:t>
            </w:r>
            <w:r>
              <w:rPr>
                <w:rFonts w:hint="eastAsia" w:ascii="仿宋" w:hAnsi="仿宋" w:eastAsia="仿宋" w:cs="仿宋"/>
                <w:color w:val="000000" w:themeColor="text1"/>
                <w:kern w:val="0"/>
                <w:sz w:val="21"/>
                <w:szCs w:val="21"/>
                <w:lang w:val="en-US" w:eastAsia="zh-CN"/>
                <w14:textFill>
                  <w14:solidFill>
                    <w14:schemeClr w14:val="tx1"/>
                  </w14:solidFill>
                </w14:textFill>
              </w:rPr>
              <w:t>、防护网面安装717m</w:t>
            </w:r>
            <w:r>
              <w:rPr>
                <w:rFonts w:hint="eastAsia" w:ascii="仿宋" w:hAnsi="仿宋" w:eastAsia="仿宋" w:cs="仿宋"/>
                <w:color w:val="000000" w:themeColor="text1"/>
                <w:kern w:val="0"/>
                <w:sz w:val="21"/>
                <w:szCs w:val="21"/>
                <w:vertAlign w:val="superscript"/>
                <w:lang w:val="en-US" w:eastAsia="zh-CN"/>
                <w14:textFill>
                  <w14:solidFill>
                    <w14:schemeClr w14:val="tx1"/>
                  </w14:solidFill>
                </w14:textFill>
              </w:rPr>
              <w:t>2</w:t>
            </w:r>
            <w:r>
              <w:rPr>
                <w:rFonts w:hint="eastAsia" w:ascii="仿宋" w:hAnsi="仿宋" w:eastAsia="仿宋" w:cs="仿宋"/>
                <w:color w:val="000000" w:themeColor="text1"/>
                <w:kern w:val="0"/>
                <w:sz w:val="21"/>
                <w:szCs w:val="21"/>
                <w:lang w:val="en-US" w:eastAsia="zh-CN"/>
                <w14:textFill>
                  <w14:solidFill>
                    <w14:schemeClr w14:val="tx1"/>
                  </w14:solidFill>
                </w14:textFill>
              </w:rPr>
              <w:t>、支撑钢柱162.52m。警示牌制作安装7块。布设监测点2处。</w:t>
            </w:r>
          </w:p>
          <w:p w14:paraId="3CA59CE4">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实施安排：2027年10-2028年5月实施防护网安装；2028年5-10月完成监测防护工程与阶段验收，同步做好植被养护与临时排水。</w:t>
            </w:r>
          </w:p>
          <w:p w14:paraId="6B709E3F">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第三年（2028年10月-2029年10月）</w:t>
            </w:r>
          </w:p>
          <w:p w14:paraId="38526437">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目标：生产期，对已修复区域及防护设施进行监测与管护。</w:t>
            </w:r>
          </w:p>
          <w:p w14:paraId="1B3E1095">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涉及修复区块：界外采场（采矿权外）、露天采场。</w:t>
            </w:r>
          </w:p>
          <w:p w14:paraId="4232C0E1">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任务：对边坡进行保护与预防控制、监测工程；</w:t>
            </w:r>
          </w:p>
          <w:p w14:paraId="1D47DE2C">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主要工程量：对界外采场进行监测，对已修复林地、草地进行效果监测及管护，对防护、排水设施进行管护。</w:t>
            </w:r>
          </w:p>
          <w:p w14:paraId="0EDE7C79">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实施安排：2028年10-2029年10月。</w:t>
            </w:r>
          </w:p>
          <w:p w14:paraId="11A9E87C">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第四年（2029年10月-2030年10月）</w:t>
            </w:r>
          </w:p>
          <w:p w14:paraId="4E826419">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目标：生产期末期，根据分期修复要求，对露天采场已施工完成台阶及边坡进行修复，对已修复区进行管护监测。</w:t>
            </w:r>
          </w:p>
          <w:p w14:paraId="734EA83C">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涉及修复区块：露天采场（台阶平台及台阶边坡）。</w:t>
            </w:r>
          </w:p>
          <w:p w14:paraId="0E0680AB">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任务：露天采场台阶边坡及台阶平台实施修复工作；</w:t>
            </w:r>
          </w:p>
          <w:p w14:paraId="4DBEE56E">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基础整治：台阶平台场地平整；</w:t>
            </w:r>
          </w:p>
          <w:p w14:paraId="3C9442E3">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主要工程量：</w:t>
            </w:r>
          </w:p>
          <w:p w14:paraId="1204F9D4">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场地整治：场地平整636.9m³；</w:t>
            </w:r>
          </w:p>
          <w:p w14:paraId="70C9B899">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土壤重构：表土回覆1273.8m³、土壤培肥0.4246hm²；</w:t>
            </w:r>
          </w:p>
          <w:p w14:paraId="2FEB8641">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植被重建：乔木云南松栽植1168株、灌木车桑子栽植1168株、藤本栽植1520株、草本撒播0.4246hm²（狗牙根+旱茅1:1混播）；</w:t>
            </w:r>
          </w:p>
          <w:p w14:paraId="5F023079">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实施安排：2029年10-2030年2月开展土壤重构（回覆+培肥）与植被重建（春季栽植，成活率更高）；2030年7-9月完成监测防护工程与阶段验收，雨季（5-10月）同步做好植被养护与临时排水。</w:t>
            </w:r>
          </w:p>
          <w:p w14:paraId="3C907FB9">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b/>
                <w:bCs/>
                <w:color w:val="000000" w:themeColor="text1"/>
                <w:kern w:val="0"/>
                <w:sz w:val="21"/>
                <w:szCs w:val="21"/>
                <w:lang w:val="en-US" w:eastAsia="zh-CN"/>
                <w14:textFill>
                  <w14:solidFill>
                    <w14:schemeClr w14:val="tx1"/>
                  </w14:solidFill>
                </w14:textFill>
              </w:rPr>
            </w:pPr>
            <w:r>
              <w:rPr>
                <w:rFonts w:hint="eastAsia" w:ascii="仿宋" w:hAnsi="仿宋" w:eastAsia="仿宋" w:cs="仿宋"/>
                <w:b/>
                <w:bCs/>
                <w:color w:val="000000" w:themeColor="text1"/>
                <w:kern w:val="0"/>
                <w:sz w:val="21"/>
                <w:szCs w:val="21"/>
                <w:lang w:val="en-US" w:eastAsia="zh-CN"/>
                <w14:textFill>
                  <w14:solidFill>
                    <w14:schemeClr w14:val="tx1"/>
                  </w14:solidFill>
                </w14:textFill>
              </w:rPr>
              <w:t>2、第二阶段：2030年10月-2031年10月</w:t>
            </w:r>
          </w:p>
          <w:p w14:paraId="2F0C439D">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目标：矿山闭坑全面修复实施期，完成各区块设施拆除，完成所有区域修复工作，完善配套设施与全域管护体系，实现矿区生态功能与周边原生环境无缝衔接，达到复垦验收标准。</w:t>
            </w:r>
          </w:p>
          <w:p w14:paraId="7E2D696D">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涉及修复区块：露天采场、办公区、生活区、原生产加工区、拟迁生产加工区、堆晒场、门卫室及矿山道路场地。</w:t>
            </w:r>
          </w:p>
          <w:p w14:paraId="29981C0F">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任务：对办公区、生活区、原生产加工区、拟迁生产加工区、门卫室进行拆除与平整（建筑垃圾分类清运）；</w:t>
            </w:r>
          </w:p>
          <w:p w14:paraId="046F3BF9">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生态修复：各区块表土回覆、土壤培肥，道路廊道压实与边坡补植，同步完成植被重建；</w:t>
            </w:r>
          </w:p>
          <w:p w14:paraId="3F22EA19">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功能完善：整合全域监测数据平台，启动3年专业管护。</w:t>
            </w:r>
          </w:p>
          <w:p w14:paraId="4A950433">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工程量：拆除与平整，废弃建筑拆除664.11m³、地坪拆除661.72m³、场地硬化拆除381.20m³、回填弃渣1707.03m³；场地平整2396.4m³；</w:t>
            </w:r>
          </w:p>
          <w:p w14:paraId="5F37913A">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土壤与植被：表土回覆4792.8m³、土壤培肥1.5976hm²；乔木云南松栽植2100株、旱冬瓜2293株、灌木车桑子栽植2100株、火棘2293株、藤本栽植402株、草本撒播1.7243hm²（狗牙根+旱茅1:1混播）；</w:t>
            </w:r>
          </w:p>
          <w:p w14:paraId="40A6E433">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配套与防护：路床压实1216.62m</w:t>
            </w:r>
            <w:r>
              <w:rPr>
                <w:rFonts w:hint="eastAsia" w:ascii="仿宋" w:hAnsi="仿宋" w:eastAsia="仿宋" w:cs="仿宋"/>
                <w:color w:val="000000" w:themeColor="text1"/>
                <w:kern w:val="0"/>
                <w:sz w:val="21"/>
                <w:szCs w:val="21"/>
                <w:vertAlign w:val="superscript"/>
                <w:lang w:val="en-US" w:eastAsia="zh-CN"/>
                <w14:textFill>
                  <w14:solidFill>
                    <w14:schemeClr w14:val="tx1"/>
                  </w14:solidFill>
                </w14:textFill>
              </w:rPr>
              <w:t>2</w:t>
            </w:r>
            <w:r>
              <w:rPr>
                <w:rFonts w:hint="eastAsia" w:ascii="仿宋" w:hAnsi="仿宋" w:eastAsia="仿宋" w:cs="仿宋"/>
                <w:color w:val="000000" w:themeColor="text1"/>
                <w:kern w:val="0"/>
                <w:sz w:val="21"/>
                <w:szCs w:val="21"/>
                <w:lang w:val="en-US" w:eastAsia="zh-CN"/>
                <w14:textFill>
                  <w14:solidFill>
                    <w14:schemeClr w14:val="tx1"/>
                  </w14:solidFill>
                </w14:textFill>
              </w:rPr>
              <w:t>（农村道路）、警示标牌7块、监测点12处。</w:t>
            </w:r>
          </w:p>
          <w:p w14:paraId="6A057BD4">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实施安排：2030年10-2031年2月完成拆除、平整，同步推进土壤重构与植被栽植；2031年5-6月完成植被补植与验收资料整理，管护工作同步。</w:t>
            </w:r>
          </w:p>
          <w:p w14:paraId="286FB71B">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b/>
                <w:bCs/>
                <w:color w:val="000000" w:themeColor="text1"/>
                <w:kern w:val="0"/>
                <w:sz w:val="21"/>
                <w:szCs w:val="21"/>
                <w:lang w:val="en-US" w:eastAsia="zh-CN"/>
                <w14:textFill>
                  <w14:solidFill>
                    <w14:schemeClr w14:val="tx1"/>
                  </w14:solidFill>
                </w14:textFill>
              </w:rPr>
            </w:pPr>
            <w:r>
              <w:rPr>
                <w:rFonts w:hint="eastAsia" w:ascii="仿宋" w:hAnsi="仿宋" w:eastAsia="仿宋" w:cs="仿宋"/>
                <w:b/>
                <w:bCs/>
                <w:color w:val="000000" w:themeColor="text1"/>
                <w:kern w:val="0"/>
                <w:sz w:val="21"/>
                <w:szCs w:val="21"/>
                <w:lang w:val="en-US" w:eastAsia="zh-CN"/>
                <w14:textFill>
                  <w14:solidFill>
                    <w14:schemeClr w14:val="tx1"/>
                  </w14:solidFill>
                </w14:textFill>
              </w:rPr>
              <w:t>3、第三阶段：2031年10月-2034年10月</w:t>
            </w:r>
          </w:p>
          <w:p w14:paraId="187A0101">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目标：矿山闭坑修复管护期，对露天采场设施场地等进行监测，对防护、排水设施进行管护，实现矿区生态功能与周边原生环境无缝衔接，达到复垦验收标准。</w:t>
            </w:r>
          </w:p>
          <w:p w14:paraId="775B7CEF">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涉及修复区块：露天采场、办公区、生活区、原生产加工区、拟迁生产加工区、堆晒场、门卫室及矿山道路场地。</w:t>
            </w:r>
          </w:p>
          <w:p w14:paraId="0EA28B72">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任务：对露天采场进行监测，对防护、排水设施、复垦植被等进行管护；</w:t>
            </w:r>
          </w:p>
          <w:p w14:paraId="6A7C5456">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生态修复：各区块植被管护及边坡补植；</w:t>
            </w:r>
          </w:p>
          <w:p w14:paraId="467D7EA5">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功能完善：实施动态修复效果及管护监测，记录全域监测数据。</w:t>
            </w:r>
          </w:p>
          <w:p w14:paraId="2B5410F4">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hint="eastAsia" w:ascii="仿宋" w:hAnsi="仿宋" w:eastAsia="仿宋" w:cs="仿宋"/>
                <w:color w:val="000000" w:themeColor="text1"/>
                <w:kern w:val="0"/>
                <w:sz w:val="21"/>
                <w:szCs w:val="21"/>
                <w:lang w:val="en-US" w:eastAsia="zh-CN"/>
                <w14:textFill>
                  <w14:solidFill>
                    <w14:schemeClr w14:val="tx1"/>
                  </w14:solidFill>
                </w14:textFill>
              </w:rPr>
            </w:pPr>
            <w:r>
              <w:rPr>
                <w:rFonts w:hint="eastAsia" w:ascii="仿宋" w:hAnsi="仿宋" w:eastAsia="仿宋" w:cs="仿宋"/>
                <w:color w:val="000000" w:themeColor="text1"/>
                <w:kern w:val="0"/>
                <w:sz w:val="21"/>
                <w:szCs w:val="21"/>
                <w:lang w:val="en-US" w:eastAsia="zh-CN"/>
                <w14:textFill>
                  <w14:solidFill>
                    <w14:schemeClr w14:val="tx1"/>
                  </w14:solidFill>
                </w14:textFill>
              </w:rPr>
              <w:t>工程量：对修复区域布设的监测点14处进行监测，建立全域监测数据台账。</w:t>
            </w:r>
          </w:p>
          <w:p w14:paraId="0120337F">
            <w:pPr>
              <w:keepNext w:val="0"/>
              <w:keepLines w:val="0"/>
              <w:pageBreakBefore w:val="0"/>
              <w:widowControl w:val="0"/>
              <w:kinsoku/>
              <w:wordWrap/>
              <w:overflowPunct/>
              <w:topLinePunct w:val="0"/>
              <w:autoSpaceDE w:val="0"/>
              <w:autoSpaceDN w:val="0"/>
              <w:bidi w:val="0"/>
              <w:adjustRightInd/>
              <w:snapToGrid/>
              <w:spacing w:line="360" w:lineRule="exact"/>
              <w:ind w:firstLine="480"/>
              <w:textAlignment w:val="auto"/>
              <w:rPr>
                <w:rFonts w:ascii="宋体" w:hAnsi="宋体" w:cs="宋体"/>
                <w:kern w:val="0"/>
              </w:rPr>
            </w:pPr>
            <w:r>
              <w:rPr>
                <w:rFonts w:hint="eastAsia" w:ascii="仿宋" w:hAnsi="仿宋" w:eastAsia="仿宋" w:cs="仿宋"/>
                <w:color w:val="000000" w:themeColor="text1"/>
                <w:kern w:val="0"/>
                <w:sz w:val="21"/>
                <w:szCs w:val="21"/>
                <w:lang w:val="en-US" w:eastAsia="zh-CN"/>
                <w14:textFill>
                  <w14:solidFill>
                    <w14:schemeClr w14:val="tx1"/>
                  </w14:solidFill>
                </w14:textFill>
              </w:rPr>
              <w:t>实施安排： 2031年10月-2034年10月完成植被补植及管护，建立监测台账与验收资料整理。</w:t>
            </w:r>
          </w:p>
        </w:tc>
      </w:tr>
      <w:bookmarkEnd w:id="2"/>
    </w:tbl>
    <w:p w14:paraId="0FBEDA78">
      <w:pPr>
        <w:pageBreakBefore w:val="0"/>
        <w:kinsoku/>
        <w:wordWrap/>
        <w:overflowPunct/>
        <w:topLinePunct w:val="0"/>
        <w:bidi w:val="0"/>
        <w:textAlignment w:val="auto"/>
        <w:rPr>
          <w:rFonts w:ascii="Times New Roman" w:hAnsi="Times New Roman" w:eastAsia="黑体" w:cs="Times New Roman"/>
          <w:b w:val="0"/>
          <w:szCs w:val="32"/>
          <w:lang w:val="en-US" w:eastAsia="zh-CN"/>
        </w:rPr>
      </w:pPr>
      <w:bookmarkStart w:id="6" w:name="_Toc241656364"/>
      <w:bookmarkStart w:id="7" w:name="_Toc235198605"/>
      <w:r>
        <w:rPr>
          <w:rFonts w:ascii="Times New Roman" w:hAnsi="Times New Roman" w:eastAsia="黑体" w:cs="Times New Roman"/>
          <w:b w:val="0"/>
          <w:szCs w:val="32"/>
          <w:lang w:val="en-US" w:eastAsia="zh-CN"/>
        </w:rPr>
        <w:br w:type="page"/>
      </w:r>
    </w:p>
    <w:p w14:paraId="232AE2BE">
      <w:pPr>
        <w:pStyle w:val="18"/>
        <w:pageBreakBefore w:val="0"/>
        <w:kinsoku/>
        <w:wordWrap/>
        <w:overflowPunct/>
        <w:topLinePunct w:val="0"/>
        <w:bidi w:val="0"/>
        <w:spacing w:beforeLines="0" w:after="0"/>
        <w:ind w:left="482" w:hanging="482" w:firstLineChars="0"/>
        <w:textAlignment w:val="auto"/>
        <w:rPr>
          <w:rFonts w:hint="eastAsia" w:ascii="宋体" w:hAnsi="宋体" w:cs="宋体"/>
          <w:b/>
          <w:kern w:val="0"/>
          <w:sz w:val="28"/>
          <w:szCs w:val="22"/>
        </w:rPr>
      </w:pPr>
      <w:r>
        <w:rPr>
          <w:rFonts w:ascii="Times New Roman" w:hAnsi="Times New Roman" w:eastAsia="黑体" w:cs="Times New Roman"/>
          <w:b w:val="0"/>
          <w:szCs w:val="32"/>
          <w:lang w:val="en-US" w:eastAsia="zh-CN"/>
        </w:rPr>
        <w:t>第三部分 结论与建议</w:t>
      </w:r>
    </w:p>
    <w:bookmarkEnd w:id="6"/>
    <w:bookmarkEnd w:id="7"/>
    <w:p w14:paraId="7BE54AA5">
      <w:pPr>
        <w:pStyle w:val="3"/>
        <w:pageBreakBefore w:val="0"/>
        <w:kinsoku/>
        <w:wordWrap/>
        <w:overflowPunct/>
        <w:topLinePunct w:val="0"/>
        <w:bidi w:val="0"/>
        <w:spacing w:before="156" w:beforeLines="50" w:after="60" w:line="360" w:lineRule="auto"/>
        <w:ind w:firstLine="643" w:firstLineChars="200"/>
        <w:jc w:val="both"/>
        <w:textAlignment w:val="auto"/>
        <w:rPr>
          <w:rFonts w:hint="eastAsia" w:ascii="黑体" w:hAnsi="黑体" w:cs="黑体"/>
          <w:b/>
          <w:bCs/>
          <w:kern w:val="0"/>
          <w:sz w:val="32"/>
          <w:lang w:val="en-US" w:eastAsia="zh-CN"/>
        </w:rPr>
      </w:pPr>
      <w:r>
        <w:rPr>
          <w:rFonts w:hint="eastAsia" w:ascii="黑体" w:hAnsi="黑体" w:cs="黑体"/>
          <w:b/>
          <w:bCs/>
          <w:kern w:val="0"/>
          <w:sz w:val="32"/>
          <w:lang w:val="en-US" w:eastAsia="zh-CN"/>
        </w:rPr>
        <w:t>一、结论</w:t>
      </w:r>
    </w:p>
    <w:p w14:paraId="36CB293D">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（一）矿山为露天开采，矿山设计开采规模3.24万t</w:t>
      </w:r>
      <w:r>
        <w:rPr>
          <w:rFonts w:hint="eastAsia" w:eastAsia="仿宋_GB2312" w:cs="Times New Roman"/>
          <w:sz w:val="32"/>
          <w:szCs w:val="32"/>
          <w:lang w:eastAsia="zh-CN"/>
        </w:rPr>
        <w:t>（</w:t>
      </w:r>
      <w:r>
        <w:rPr>
          <w:rFonts w:hint="eastAsia" w:ascii="Times New Roman" w:hAnsi="Times New Roman" w:eastAsia="仿宋_GB2312" w:cs="Times New Roman"/>
          <w:sz w:val="32"/>
          <w:szCs w:val="32"/>
          <w:lang w:eastAsia="zh-CN"/>
        </w:rPr>
        <w:t>2.0万m</w:t>
      </w:r>
      <w:r>
        <w:rPr>
          <w:rFonts w:hint="eastAsia" w:ascii="Times New Roman" w:hAnsi="Times New Roman" w:eastAsia="仿宋_GB2312" w:cs="Times New Roman"/>
          <w:sz w:val="32"/>
          <w:szCs w:val="32"/>
          <w:vertAlign w:val="superscript"/>
          <w:lang w:eastAsia="zh-CN"/>
        </w:rPr>
        <w:t>3</w:t>
      </w:r>
      <w:r>
        <w:rPr>
          <w:rFonts w:hint="eastAsia" w:eastAsia="仿宋_GB2312" w:cs="Times New Roman"/>
          <w:sz w:val="32"/>
          <w:szCs w:val="32"/>
          <w:vertAlign w:val="superscript"/>
          <w:lang w:eastAsia="zh-CN"/>
        </w:rPr>
        <w:t>）</w:t>
      </w:r>
      <w:r>
        <w:rPr>
          <w:rFonts w:hint="eastAsia" w:ascii="Times New Roman" w:hAnsi="Times New Roman" w:eastAsia="仿宋_GB2312" w:cs="Times New Roman"/>
          <w:sz w:val="32"/>
          <w:szCs w:val="32"/>
          <w:lang w:eastAsia="zh-CN"/>
        </w:rPr>
        <w:t>/年，建设规模为小型。</w:t>
      </w:r>
      <w:r>
        <w:rPr>
          <w:rFonts w:hint="eastAsia" w:ascii="Times New Roman" w:hAnsi="Times New Roman" w:eastAsia="仿宋_GB2312" w:cs="Times New Roman"/>
          <w:sz w:val="32"/>
          <w:szCs w:val="32"/>
        </w:rPr>
        <w:t>本矿山生态修复方案服务年限8年（2026年10月</w:t>
      </w:r>
      <w:r>
        <w:rPr>
          <w:rFonts w:hint="eastAsia" w:eastAsia="仿宋_GB2312" w:cs="Times New Roman"/>
          <w:sz w:val="32"/>
          <w:szCs w:val="32"/>
          <w:lang w:eastAsia="zh-CN"/>
        </w:rPr>
        <w:t>—</w:t>
      </w:r>
      <w:r>
        <w:rPr>
          <w:rFonts w:hint="eastAsia" w:ascii="Times New Roman" w:hAnsi="Times New Roman" w:eastAsia="仿宋_GB2312" w:cs="Times New Roman"/>
          <w:sz w:val="32"/>
          <w:szCs w:val="32"/>
        </w:rPr>
        <w:t>2034年10月）。</w:t>
      </w:r>
    </w:p>
    <w:p w14:paraId="5244FBD8">
      <w:pPr>
        <w:pageBreakBefore w:val="0"/>
        <w:kinsoku/>
        <w:wordWrap/>
        <w:overflowPunct/>
        <w:topLinePunct w:val="0"/>
        <w:autoSpaceDE w:val="0"/>
        <w:autoSpaceDN w:val="0"/>
        <w:bidi w:val="0"/>
        <w:ind w:firstLine="56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w:t>
      </w:r>
      <w:r>
        <w:rPr>
          <w:rFonts w:hint="eastAsia" w:eastAsia="仿宋_GB2312" w:cs="Times New Roman"/>
          <w:sz w:val="32"/>
          <w:szCs w:val="32"/>
          <w:lang w:eastAsia="zh-CN"/>
        </w:rPr>
        <w:t>二</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结合地形地貌、生态系统类型及破坏强度，将评价范围划分为3个生态破坏分区：1）重度影响区：包括露天采空区（采矿权内、外）、办公区、生活区、生产加工区、堆晒场、道路区等。该区域地质环境破坏严重，土地功能完全丧失，植被覆盖度＜30%，生物多样性显著下降，生态服务功能基本丧失，以重度破坏为主。2）中度影响区：包括</w:t>
      </w:r>
      <w:r>
        <w:rPr>
          <w:rFonts w:hint="eastAsia" w:eastAsia="仿宋_GB2312" w:cs="Times New Roman"/>
          <w:sz w:val="32"/>
          <w:szCs w:val="32"/>
          <w:lang w:eastAsia="zh-CN"/>
        </w:rPr>
        <w:t>门卫室</w:t>
      </w:r>
      <w:r>
        <w:rPr>
          <w:rFonts w:hint="default" w:ascii="Times New Roman" w:hAnsi="Times New Roman" w:eastAsia="仿宋_GB2312" w:cs="Times New Roman"/>
          <w:sz w:val="32"/>
          <w:szCs w:val="32"/>
          <w:lang w:eastAsia="zh-CN"/>
        </w:rPr>
        <w:t>、道路区等。该区域以土地压占为主要损毁方式，地形地貌局部破坏，植被部分损毁，生物多样性中度下降，生态服务功能弱化，以中度破坏为主。3）轻度影响区：未扰动边缘区域的森林、草地生态系统边缘区域。该区域仅存在轻微土地压占或生态扰动，生态系统结构基本完整，生态服务功能轻度弱化，以轻度破坏为主。</w:t>
      </w:r>
    </w:p>
    <w:p w14:paraId="72920BCB">
      <w:pPr>
        <w:pageBreakBefore w:val="0"/>
        <w:kinsoku/>
        <w:wordWrap/>
        <w:overflowPunct/>
        <w:topLinePunct w:val="0"/>
        <w:autoSpaceDE w:val="0"/>
        <w:autoSpaceDN w:val="0"/>
        <w:bidi w:val="0"/>
        <w:ind w:firstLine="56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本矿</w:t>
      </w:r>
      <w:r>
        <w:rPr>
          <w:rFonts w:hint="eastAsia" w:ascii="Times New Roman" w:hAnsi="Times New Roman" w:eastAsia="仿宋_GB2312" w:cs="Times New Roman"/>
          <w:sz w:val="32"/>
          <w:szCs w:val="32"/>
          <w:lang w:eastAsia="zh-CN"/>
        </w:rPr>
        <w:t>区</w:t>
      </w:r>
      <w:r>
        <w:rPr>
          <w:rFonts w:hint="default" w:ascii="Times New Roman" w:hAnsi="Times New Roman" w:eastAsia="仿宋_GB2312" w:cs="Times New Roman"/>
          <w:sz w:val="32"/>
          <w:szCs w:val="32"/>
          <w:lang w:eastAsia="zh-CN"/>
        </w:rPr>
        <w:t>共计损毁土地面积约3.6496hm</w:t>
      </w:r>
      <w:r>
        <w:rPr>
          <w:rFonts w:hint="default" w:ascii="Times New Roman" w:hAnsi="Times New Roman" w:eastAsia="仿宋_GB2312" w:cs="Times New Roman"/>
          <w:sz w:val="32"/>
          <w:szCs w:val="32"/>
          <w:vertAlign w:val="superscript"/>
          <w:lang w:eastAsia="zh-CN"/>
        </w:rPr>
        <w:t>2</w:t>
      </w:r>
      <w:r>
        <w:rPr>
          <w:rFonts w:hint="default" w:ascii="Times New Roman" w:hAnsi="Times New Roman" w:eastAsia="仿宋_GB2312" w:cs="Times New Roman"/>
          <w:sz w:val="32"/>
          <w:szCs w:val="32"/>
          <w:lang w:eastAsia="zh-CN"/>
        </w:rPr>
        <w:t>。项目区已损毁总面积3.4599hm²，损毁地类主要为林地、农村宅基地、农村道路、采矿用地、裸土地，不占用永久基本农田</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损毁类型以挖损、压占为主</w:t>
      </w:r>
      <w:r>
        <w:rPr>
          <w:rFonts w:hint="eastAsia" w:ascii="Times New Roman" w:hAnsi="Times New Roman" w:eastAsia="仿宋_GB2312" w:cs="Times New Roman"/>
          <w:sz w:val="32"/>
          <w:szCs w:val="32"/>
          <w:lang w:eastAsia="zh-CN"/>
        </w:rPr>
        <w:t>。其中：</w:t>
      </w:r>
    </w:p>
    <w:p w14:paraId="7DDC8C08">
      <w:pPr>
        <w:pageBreakBefore w:val="0"/>
        <w:kinsoku/>
        <w:wordWrap/>
        <w:overflowPunct/>
        <w:topLinePunct w:val="0"/>
        <w:autoSpaceDE w:val="0"/>
        <w:autoSpaceDN w:val="0"/>
        <w:bidi w:val="0"/>
        <w:ind w:firstLine="56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已损毁土地总面积为3.4599hm²</w:t>
      </w:r>
      <w:r>
        <w:rPr>
          <w:rFonts w:hint="eastAsia" w:ascii="Times New Roman" w:hAnsi="Times New Roman" w:eastAsia="仿宋_GB2312" w:cs="Times New Roman"/>
          <w:sz w:val="32"/>
          <w:szCs w:val="32"/>
          <w:lang w:eastAsia="zh-CN"/>
        </w:rPr>
        <w:t>，其中：乔木林地0.2055hm²，采矿用地2.9788hm²，</w:t>
      </w:r>
      <w:r>
        <w:rPr>
          <w:rFonts w:hint="eastAsia" w:eastAsia="仿宋_GB2312" w:cs="Times New Roman"/>
          <w:sz w:val="32"/>
          <w:szCs w:val="32"/>
          <w:lang w:eastAsia="zh-CN"/>
        </w:rPr>
        <w:t>农村宅基地</w:t>
      </w:r>
      <w:r>
        <w:rPr>
          <w:rFonts w:hint="eastAsia" w:ascii="Times New Roman" w:hAnsi="Times New Roman" w:eastAsia="仿宋_GB2312" w:cs="Times New Roman"/>
          <w:sz w:val="32"/>
          <w:szCs w:val="32"/>
          <w:lang w:eastAsia="zh-CN"/>
        </w:rPr>
        <w:t>0.1267hm²，农村道路0.1489hm²。该区域矿石</w:t>
      </w:r>
      <w:r>
        <w:rPr>
          <w:rFonts w:hint="eastAsia" w:eastAsia="仿宋_GB2312" w:cs="Times New Roman"/>
          <w:sz w:val="32"/>
          <w:szCs w:val="32"/>
          <w:lang w:eastAsia="zh-CN"/>
        </w:rPr>
        <w:t>、</w:t>
      </w:r>
      <w:r>
        <w:rPr>
          <w:rFonts w:hint="eastAsia" w:ascii="Times New Roman" w:hAnsi="Times New Roman" w:eastAsia="仿宋_GB2312" w:cs="Times New Roman"/>
          <w:sz w:val="32"/>
          <w:szCs w:val="32"/>
          <w:lang w:eastAsia="zh-CN"/>
        </w:rPr>
        <w:t>土的开挖损毁了土地的生态功能，同时改变了地形地貌，原有植物也遭到严重损毁，损毁土地的方式为挖损，损毁程度为重度。</w:t>
      </w:r>
    </w:p>
    <w:p w14:paraId="7FC17D96">
      <w:pPr>
        <w:pageBreakBefore w:val="0"/>
        <w:kinsoku/>
        <w:wordWrap/>
        <w:overflowPunct/>
        <w:topLinePunct w:val="0"/>
        <w:autoSpaceDE w:val="0"/>
        <w:autoSpaceDN w:val="0"/>
        <w:bidi w:val="0"/>
        <w:ind w:firstLine="560"/>
        <w:textAlignment w:val="auto"/>
        <w:rPr>
          <w:rFonts w:ascii="宋体" w:hAnsi="宋体" w:cs="宋体"/>
          <w:b/>
          <w:kern w:val="0"/>
          <w:sz w:val="28"/>
          <w:szCs w:val="22"/>
        </w:rPr>
      </w:pPr>
      <w:r>
        <w:rPr>
          <w:rFonts w:hint="eastAsia" w:ascii="Times New Roman" w:hAnsi="Times New Roman" w:eastAsia="仿宋_GB2312" w:cs="Times New Roman"/>
          <w:sz w:val="32"/>
          <w:szCs w:val="32"/>
          <w:lang w:eastAsia="zh-CN"/>
        </w:rPr>
        <w:t>拟开采区损毁地面积0.</w:t>
      </w:r>
      <w:r>
        <w:rPr>
          <w:rFonts w:hint="eastAsia" w:eastAsia="仿宋_GB2312" w:cs="Times New Roman"/>
          <w:sz w:val="32"/>
          <w:szCs w:val="32"/>
          <w:lang w:val="en-US" w:eastAsia="zh-CN"/>
        </w:rPr>
        <w:t>1897</w:t>
      </w:r>
      <w:r>
        <w:rPr>
          <w:rFonts w:hint="eastAsia" w:ascii="Times New Roman" w:hAnsi="Times New Roman" w:eastAsia="仿宋_GB2312" w:cs="Times New Roman"/>
          <w:sz w:val="32"/>
          <w:szCs w:val="32"/>
          <w:lang w:eastAsia="zh-CN"/>
        </w:rPr>
        <w:t>hm</w:t>
      </w:r>
      <w:r>
        <w:rPr>
          <w:rFonts w:hint="eastAsia" w:ascii="Times New Roman" w:hAnsi="Times New Roman" w:eastAsia="仿宋_GB2312" w:cs="Times New Roman"/>
          <w:sz w:val="32"/>
          <w:szCs w:val="32"/>
          <w:vertAlign w:val="superscript"/>
          <w:lang w:eastAsia="zh-CN"/>
        </w:rPr>
        <w:t>2</w:t>
      </w:r>
      <w:r>
        <w:rPr>
          <w:rFonts w:hint="eastAsia" w:ascii="Times New Roman" w:hAnsi="Times New Roman" w:eastAsia="仿宋_GB2312" w:cs="Times New Roman"/>
          <w:sz w:val="32"/>
          <w:szCs w:val="32"/>
          <w:lang w:eastAsia="zh-CN"/>
        </w:rPr>
        <w:t>，损毁地类为乔木林地（0.0</w:t>
      </w:r>
      <w:r>
        <w:rPr>
          <w:rFonts w:hint="eastAsia" w:eastAsia="仿宋_GB2312" w:cs="Times New Roman"/>
          <w:sz w:val="32"/>
          <w:szCs w:val="32"/>
          <w:lang w:val="en-US" w:eastAsia="zh-CN"/>
        </w:rPr>
        <w:t>846</w:t>
      </w:r>
      <w:r>
        <w:rPr>
          <w:rFonts w:hint="eastAsia" w:ascii="Times New Roman" w:hAnsi="Times New Roman" w:eastAsia="仿宋_GB2312" w:cs="Times New Roman"/>
          <w:sz w:val="32"/>
          <w:szCs w:val="32"/>
          <w:lang w:eastAsia="zh-CN"/>
        </w:rPr>
        <w:t>hm</w:t>
      </w:r>
      <w:r>
        <w:rPr>
          <w:rFonts w:hint="eastAsia" w:ascii="Times New Roman" w:hAnsi="Times New Roman" w:eastAsia="仿宋_GB2312" w:cs="Times New Roman"/>
          <w:sz w:val="32"/>
          <w:szCs w:val="32"/>
          <w:vertAlign w:val="superscript"/>
          <w:lang w:eastAsia="zh-CN"/>
        </w:rPr>
        <w:t>2</w:t>
      </w:r>
      <w:r>
        <w:rPr>
          <w:rFonts w:hint="eastAsia" w:ascii="Times New Roman" w:hAnsi="Times New Roman" w:eastAsia="仿宋_GB2312" w:cs="Times New Roman"/>
          <w:sz w:val="32"/>
          <w:szCs w:val="32"/>
          <w:lang w:eastAsia="zh-CN"/>
        </w:rPr>
        <w:t>）、采矿用地（0.</w:t>
      </w:r>
      <w:r>
        <w:rPr>
          <w:rFonts w:hint="eastAsia" w:eastAsia="仿宋_GB2312" w:cs="Times New Roman"/>
          <w:sz w:val="32"/>
          <w:szCs w:val="32"/>
          <w:lang w:val="en-US" w:eastAsia="zh-CN"/>
        </w:rPr>
        <w:t>0886</w:t>
      </w:r>
      <w:r>
        <w:rPr>
          <w:rFonts w:hint="eastAsia" w:ascii="Times New Roman" w:hAnsi="Times New Roman" w:eastAsia="仿宋_GB2312" w:cs="Times New Roman"/>
          <w:sz w:val="32"/>
          <w:szCs w:val="32"/>
          <w:lang w:eastAsia="zh-CN"/>
        </w:rPr>
        <w:t>hm</w:t>
      </w:r>
      <w:r>
        <w:rPr>
          <w:rFonts w:hint="eastAsia" w:ascii="Times New Roman" w:hAnsi="Times New Roman" w:eastAsia="仿宋_GB2312" w:cs="Times New Roman"/>
          <w:sz w:val="32"/>
          <w:szCs w:val="32"/>
          <w:vertAlign w:val="superscript"/>
          <w:lang w:eastAsia="zh-CN"/>
        </w:rPr>
        <w:t>2</w:t>
      </w:r>
      <w:r>
        <w:rPr>
          <w:rFonts w:hint="eastAsia" w:ascii="Times New Roman" w:hAnsi="Times New Roman" w:eastAsia="仿宋_GB2312" w:cs="Times New Roman"/>
          <w:sz w:val="32"/>
          <w:szCs w:val="32"/>
          <w:lang w:eastAsia="zh-CN"/>
        </w:rPr>
        <w:t>）、农村道路（0.0</w:t>
      </w:r>
      <w:r>
        <w:rPr>
          <w:rFonts w:hint="eastAsia" w:eastAsia="仿宋_GB2312" w:cs="Times New Roman"/>
          <w:sz w:val="32"/>
          <w:szCs w:val="32"/>
          <w:lang w:val="en-US" w:eastAsia="zh-CN"/>
        </w:rPr>
        <w:t>1</w:t>
      </w:r>
      <w:r>
        <w:rPr>
          <w:rFonts w:hint="eastAsia" w:ascii="Times New Roman" w:hAnsi="Times New Roman" w:eastAsia="仿宋_GB2312" w:cs="Times New Roman"/>
          <w:sz w:val="32"/>
          <w:szCs w:val="32"/>
          <w:lang w:eastAsia="zh-CN"/>
        </w:rPr>
        <w:t>59hm</w:t>
      </w:r>
      <w:r>
        <w:rPr>
          <w:rFonts w:hint="eastAsia" w:ascii="Times New Roman" w:hAnsi="Times New Roman" w:eastAsia="仿宋_GB2312" w:cs="Times New Roman"/>
          <w:sz w:val="32"/>
          <w:szCs w:val="32"/>
          <w:vertAlign w:val="superscript"/>
          <w:lang w:eastAsia="zh-CN"/>
        </w:rPr>
        <w:t>2</w:t>
      </w:r>
      <w:r>
        <w:rPr>
          <w:rFonts w:hint="eastAsia" w:ascii="Times New Roman" w:hAnsi="Times New Roman" w:eastAsia="仿宋_GB2312" w:cs="Times New Roman"/>
          <w:sz w:val="32"/>
          <w:szCs w:val="32"/>
          <w:lang w:eastAsia="zh-CN"/>
        </w:rPr>
        <w:t>）、裸土地（0.0006hm</w:t>
      </w:r>
      <w:r>
        <w:rPr>
          <w:rFonts w:hint="eastAsia" w:ascii="Times New Roman" w:hAnsi="Times New Roman" w:eastAsia="仿宋_GB2312" w:cs="Times New Roman"/>
          <w:sz w:val="32"/>
          <w:szCs w:val="32"/>
          <w:vertAlign w:val="superscript"/>
          <w:lang w:eastAsia="zh-CN"/>
        </w:rPr>
        <w:t>2</w:t>
      </w:r>
      <w:r>
        <w:rPr>
          <w:rFonts w:hint="eastAsia" w:ascii="Times New Roman" w:hAnsi="Times New Roman" w:eastAsia="仿宋_GB2312" w:cs="Times New Roman"/>
          <w:sz w:val="32"/>
          <w:szCs w:val="32"/>
          <w:lang w:eastAsia="zh-CN"/>
        </w:rPr>
        <w:t>）。该区域矿石</w:t>
      </w:r>
      <w:r>
        <w:rPr>
          <w:rFonts w:hint="eastAsia" w:eastAsia="仿宋_GB2312" w:cs="Times New Roman"/>
          <w:sz w:val="32"/>
          <w:szCs w:val="32"/>
          <w:lang w:eastAsia="zh-CN"/>
        </w:rPr>
        <w:t>、</w:t>
      </w:r>
      <w:r>
        <w:rPr>
          <w:rFonts w:hint="eastAsia" w:ascii="Times New Roman" w:hAnsi="Times New Roman" w:eastAsia="仿宋_GB2312" w:cs="Times New Roman"/>
          <w:sz w:val="32"/>
          <w:szCs w:val="32"/>
          <w:lang w:eastAsia="zh-CN"/>
        </w:rPr>
        <w:t>土的开挖损毁了土地的生态功能，同时改变了地形地貌，原有植物也遭到严重损毁，损毁土地的方式为挖损，损毁程度为重度。</w:t>
      </w:r>
    </w:p>
    <w:p w14:paraId="61CF0C1D">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该矿山需修复土地总面积3.6496hm</w:t>
      </w:r>
      <w:r>
        <w:rPr>
          <w:rFonts w:hint="eastAsia" w:ascii="Times New Roman" w:hAnsi="Times New Roman" w:eastAsia="仿宋_GB2312" w:cs="Times New Roman"/>
          <w:sz w:val="32"/>
          <w:szCs w:val="32"/>
          <w:vertAlign w:val="superscript"/>
          <w:lang w:eastAsia="zh-CN"/>
        </w:rPr>
        <w:t>2</w:t>
      </w:r>
      <w:r>
        <w:rPr>
          <w:rFonts w:hint="eastAsia" w:ascii="Times New Roman" w:hAnsi="Times New Roman" w:eastAsia="仿宋_GB2312" w:cs="Times New Roman"/>
          <w:sz w:val="32"/>
          <w:szCs w:val="32"/>
          <w:lang w:eastAsia="zh-CN"/>
        </w:rPr>
        <w:t>，修复面积3.5229hm</w:t>
      </w:r>
      <w:r>
        <w:rPr>
          <w:rFonts w:hint="eastAsia" w:ascii="Times New Roman" w:hAnsi="Times New Roman" w:eastAsia="仿宋_GB2312" w:cs="Times New Roman"/>
          <w:sz w:val="32"/>
          <w:szCs w:val="32"/>
          <w:vertAlign w:val="superscript"/>
          <w:lang w:eastAsia="zh-CN"/>
        </w:rPr>
        <w:t>2</w:t>
      </w:r>
      <w:r>
        <w:rPr>
          <w:rFonts w:hint="eastAsia" w:eastAsia="仿宋_GB2312" w:cs="Times New Roman"/>
          <w:sz w:val="32"/>
          <w:szCs w:val="32"/>
          <w:lang w:eastAsia="zh-CN"/>
        </w:rPr>
        <w:t>，</w:t>
      </w:r>
      <w:r>
        <w:rPr>
          <w:rFonts w:hint="eastAsia" w:ascii="Times New Roman" w:hAnsi="Times New Roman" w:eastAsia="仿宋_GB2312" w:cs="Times New Roman"/>
          <w:sz w:val="32"/>
          <w:szCs w:val="32"/>
          <w:lang w:eastAsia="zh-CN"/>
        </w:rPr>
        <w:t>其中修复为乔木林地2.1886hm</w:t>
      </w:r>
      <w:r>
        <w:rPr>
          <w:rFonts w:hint="eastAsia" w:ascii="Times New Roman" w:hAnsi="Times New Roman" w:eastAsia="仿宋_GB2312" w:cs="Times New Roman"/>
          <w:sz w:val="32"/>
          <w:szCs w:val="32"/>
          <w:vertAlign w:val="superscript"/>
          <w:lang w:eastAsia="zh-CN"/>
        </w:rPr>
        <w:t>2</w:t>
      </w:r>
      <w:r>
        <w:rPr>
          <w:rFonts w:hint="eastAsia" w:ascii="Times New Roman" w:hAnsi="Times New Roman" w:eastAsia="仿宋_GB2312" w:cs="Times New Roman"/>
          <w:sz w:val="32"/>
          <w:szCs w:val="32"/>
          <w:lang w:eastAsia="zh-CN"/>
        </w:rPr>
        <w:t>、其他草地1.0831hm</w:t>
      </w:r>
      <w:r>
        <w:rPr>
          <w:rFonts w:hint="eastAsia" w:ascii="Times New Roman" w:hAnsi="Times New Roman" w:eastAsia="仿宋_GB2312" w:cs="Times New Roman"/>
          <w:sz w:val="32"/>
          <w:szCs w:val="32"/>
          <w:vertAlign w:val="superscript"/>
          <w:lang w:eastAsia="zh-CN"/>
        </w:rPr>
        <w:t>2</w:t>
      </w:r>
      <w:r>
        <w:rPr>
          <w:rFonts w:hint="eastAsia" w:ascii="Times New Roman" w:hAnsi="Times New Roman" w:eastAsia="仿宋_GB2312" w:cs="Times New Roman"/>
          <w:sz w:val="32"/>
          <w:szCs w:val="32"/>
          <w:lang w:eastAsia="zh-CN"/>
        </w:rPr>
        <w:t>，沟渠0.1295hm</w:t>
      </w:r>
      <w:r>
        <w:rPr>
          <w:rFonts w:hint="eastAsia" w:ascii="Times New Roman" w:hAnsi="Times New Roman" w:eastAsia="仿宋_GB2312" w:cs="Times New Roman"/>
          <w:sz w:val="32"/>
          <w:szCs w:val="32"/>
          <w:vertAlign w:val="superscript"/>
          <w:lang w:eastAsia="zh-CN"/>
        </w:rPr>
        <w:t>2</w:t>
      </w:r>
      <w:r>
        <w:rPr>
          <w:rFonts w:hint="eastAsia" w:eastAsia="仿宋_GB2312" w:cs="Times New Roman"/>
          <w:sz w:val="32"/>
          <w:szCs w:val="32"/>
          <w:lang w:eastAsia="zh-CN"/>
        </w:rPr>
        <w:t>，</w:t>
      </w:r>
      <w:r>
        <w:rPr>
          <w:rFonts w:hint="eastAsia" w:ascii="Times New Roman" w:hAnsi="Times New Roman" w:eastAsia="仿宋_GB2312" w:cs="Times New Roman"/>
          <w:sz w:val="32"/>
          <w:szCs w:val="32"/>
          <w:lang w:eastAsia="zh-CN"/>
        </w:rPr>
        <w:t xml:space="preserve"> 农村道路0.1217hm</w:t>
      </w:r>
      <w:r>
        <w:rPr>
          <w:rFonts w:hint="eastAsia" w:ascii="Times New Roman" w:hAnsi="Times New Roman" w:eastAsia="仿宋_GB2312" w:cs="Times New Roman"/>
          <w:sz w:val="32"/>
          <w:szCs w:val="32"/>
          <w:vertAlign w:val="superscript"/>
          <w:lang w:eastAsia="zh-CN"/>
        </w:rPr>
        <w:t>2</w:t>
      </w:r>
      <w:r>
        <w:rPr>
          <w:rFonts w:hint="eastAsia" w:ascii="Times New Roman" w:hAnsi="Times New Roman" w:eastAsia="仿宋_GB2312" w:cs="Times New Roman"/>
          <w:sz w:val="32"/>
          <w:szCs w:val="32"/>
          <w:lang w:eastAsia="zh-CN"/>
        </w:rPr>
        <w:t>，保留农村宅基地0.1267hm</w:t>
      </w:r>
      <w:r>
        <w:rPr>
          <w:rFonts w:hint="eastAsia" w:ascii="Times New Roman" w:hAnsi="Times New Roman" w:eastAsia="仿宋_GB2312" w:cs="Times New Roman"/>
          <w:sz w:val="32"/>
          <w:szCs w:val="32"/>
          <w:vertAlign w:val="superscript"/>
          <w:lang w:eastAsia="zh-CN"/>
        </w:rPr>
        <w:t>2</w:t>
      </w:r>
      <w:r>
        <w:rPr>
          <w:rFonts w:hint="eastAsia" w:ascii="Times New Roman" w:hAnsi="Times New Roman" w:eastAsia="仿宋_GB2312" w:cs="Times New Roman"/>
          <w:sz w:val="32"/>
          <w:szCs w:val="32"/>
          <w:lang w:eastAsia="zh-CN"/>
        </w:rPr>
        <w:t>，复垦修复率为96.53%。</w:t>
      </w:r>
    </w:p>
    <w:p w14:paraId="0691BC90">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三</w:t>
      </w:r>
      <w:r>
        <w:rPr>
          <w:rFonts w:hint="eastAsia" w:ascii="Times New Roman" w:hAnsi="Times New Roman" w:eastAsia="仿宋_GB2312" w:cs="Times New Roman"/>
          <w:sz w:val="32"/>
          <w:szCs w:val="32"/>
          <w:lang w:eastAsia="zh-CN"/>
        </w:rPr>
        <w:t>）主要修复工程措施及范围</w:t>
      </w:r>
    </w:p>
    <w:p w14:paraId="524459CB">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（1）修复范围</w:t>
      </w:r>
    </w:p>
    <w:p w14:paraId="2351C1A5">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根据项目实际情况，方案保留设施面积0.1267hm</w:t>
      </w:r>
      <w:r>
        <w:rPr>
          <w:rFonts w:hint="eastAsia" w:ascii="Times New Roman" w:hAnsi="Times New Roman" w:eastAsia="仿宋_GB2312" w:cs="Times New Roman"/>
          <w:sz w:val="32"/>
          <w:szCs w:val="32"/>
          <w:vertAlign w:val="superscript"/>
          <w:lang w:eastAsia="zh-CN"/>
        </w:rPr>
        <w:t>2</w:t>
      </w:r>
      <w:r>
        <w:rPr>
          <w:rFonts w:hint="eastAsia" w:ascii="Times New Roman" w:hAnsi="Times New Roman" w:eastAsia="仿宋_GB2312" w:cs="Times New Roman"/>
          <w:sz w:val="32"/>
          <w:szCs w:val="32"/>
          <w:lang w:eastAsia="zh-CN"/>
        </w:rPr>
        <w:t>（农村宅基地），不纳入此次修复范围。最终确定本矿山修复土地面积为3.5229hm</w:t>
      </w:r>
      <w:r>
        <w:rPr>
          <w:rFonts w:hint="eastAsia" w:ascii="Times New Roman" w:hAnsi="Times New Roman" w:eastAsia="仿宋_GB2312" w:cs="Times New Roman"/>
          <w:sz w:val="32"/>
          <w:szCs w:val="32"/>
          <w:vertAlign w:val="superscript"/>
          <w:lang w:eastAsia="zh-CN"/>
        </w:rPr>
        <w:t>2</w:t>
      </w:r>
      <w:r>
        <w:rPr>
          <w:rFonts w:hint="eastAsia" w:ascii="Times New Roman" w:hAnsi="Times New Roman" w:eastAsia="仿宋_GB2312" w:cs="Times New Roman"/>
          <w:sz w:val="32"/>
          <w:szCs w:val="32"/>
          <w:lang w:eastAsia="zh-CN"/>
        </w:rPr>
        <w:t>，修复单元为：露天采场（采矿权内）、界外采场（采矿权外）、办公区、生活区、生产加工区、拟迁生产加工区、堆晒场、</w:t>
      </w:r>
      <w:r>
        <w:rPr>
          <w:rFonts w:hint="eastAsia" w:eastAsia="仿宋_GB2312" w:cs="Times New Roman"/>
          <w:sz w:val="32"/>
          <w:szCs w:val="32"/>
          <w:lang w:eastAsia="zh-CN"/>
        </w:rPr>
        <w:t>门卫室</w:t>
      </w:r>
      <w:r>
        <w:rPr>
          <w:rFonts w:hint="eastAsia" w:ascii="Times New Roman" w:hAnsi="Times New Roman" w:eastAsia="仿宋_GB2312" w:cs="Times New Roman"/>
          <w:sz w:val="32"/>
          <w:szCs w:val="32"/>
          <w:lang w:eastAsia="zh-CN"/>
        </w:rPr>
        <w:t>、矿区道路。</w:t>
      </w:r>
    </w:p>
    <w:p w14:paraId="3C64421A">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（2）主要修复工程措施</w:t>
      </w:r>
    </w:p>
    <w:p w14:paraId="7064BAAE">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本矿区生态修复工程措施包括地貌重塑工程、土壤重构工程、植被重建工程、景观营造工程、监测及管护工程，具体生态修复工程措施为：</w:t>
      </w:r>
    </w:p>
    <w:p w14:paraId="15AAF68C">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保护与预防控制：警示标牌14块（采空区、边坡区等关键区域），边坡区安全防护网327m、表土剥离773.4m³。</w:t>
      </w:r>
    </w:p>
    <w:p w14:paraId="4D0088FF">
      <w:pPr>
        <w:keepNext w:val="0"/>
        <w:keepLines w:val="0"/>
        <w:pageBreakBefore w:val="0"/>
        <w:widowControl w:val="0"/>
        <w:kinsoku/>
        <w:wordWrap/>
        <w:overflowPunct/>
        <w:topLinePunct/>
        <w:autoSpaceDE w:val="0"/>
        <w:autoSpaceDN w:val="0"/>
        <w:bidi w:val="0"/>
        <w:adjustRightInd/>
        <w:snapToGrid/>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地貌重塑：边坡危岩清理914.8</w:t>
      </w:r>
      <w:r>
        <w:rPr>
          <w:rFonts w:hint="eastAsia" w:eastAsia="仿宋_GB2312" w:cs="Times New Roman"/>
          <w:sz w:val="32"/>
          <w:szCs w:val="32"/>
          <w:lang w:val="en-US" w:eastAsia="zh-CN"/>
        </w:rPr>
        <w:t>1</w:t>
      </w:r>
      <w:r>
        <w:rPr>
          <w:rFonts w:hint="eastAsia" w:ascii="Times New Roman" w:hAnsi="Times New Roman" w:eastAsia="仿宋_GB2312" w:cs="Times New Roman"/>
          <w:sz w:val="32"/>
          <w:szCs w:val="32"/>
          <w:lang w:eastAsia="zh-CN"/>
        </w:rPr>
        <w:t>m³、场地平整3408.9m³、废弃建筑拆除664.11m³、地坪拆除661.72m³、场地硬化拆除381.20m³、回填弃渣1707.03m³；场地平整3282.9m³。</w:t>
      </w:r>
    </w:p>
    <w:p w14:paraId="5DE8893D">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土壤重构：表土回覆6565.80m³、土壤培肥2.1886hm²（有机肥200kg/hm²、复合肥25 kg/hm²）。</w:t>
      </w:r>
    </w:p>
    <w:p w14:paraId="73D91E2F">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植被重建：乔木云南松3725株、旱冬瓜2293株，株行距</w:t>
      </w:r>
      <w:r>
        <w:rPr>
          <w:rFonts w:hint="eastAsia" w:eastAsia="仿宋_GB2312" w:cs="Times New Roman"/>
          <w:sz w:val="32"/>
          <w:szCs w:val="32"/>
          <w:lang w:eastAsia="zh-CN"/>
        </w:rPr>
        <w:t>（</w:t>
      </w:r>
      <w:r>
        <w:rPr>
          <w:rFonts w:hint="eastAsia" w:ascii="Times New Roman" w:hAnsi="Times New Roman" w:eastAsia="仿宋_GB2312" w:cs="Times New Roman"/>
          <w:sz w:val="32"/>
          <w:szCs w:val="32"/>
          <w:lang w:eastAsia="zh-CN"/>
        </w:rPr>
        <w:t>2m×2m）、灌木火棘2293株、车桑子3725株，株行距（2m×2m）、藤本</w:t>
      </w:r>
      <w:r>
        <w:rPr>
          <w:rFonts w:hint="eastAsia" w:eastAsia="仿宋_GB2312" w:cs="Times New Roman"/>
          <w:sz w:val="32"/>
          <w:szCs w:val="32"/>
          <w:lang w:val="en-US" w:eastAsia="zh-CN"/>
        </w:rPr>
        <w:t>2452</w:t>
      </w:r>
      <w:r>
        <w:rPr>
          <w:rFonts w:hint="eastAsia" w:ascii="Times New Roman" w:hAnsi="Times New Roman" w:eastAsia="仿宋_GB2312" w:cs="Times New Roman"/>
          <w:sz w:val="32"/>
          <w:szCs w:val="32"/>
          <w:lang w:eastAsia="zh-CN"/>
        </w:rPr>
        <w:t>株（葛藤、爬山虎各1226株）、草本2.3153hm²（狗牙根+旱茅1:1混播）（含生活区简易复垦0.1267hm²）。</w:t>
      </w:r>
    </w:p>
    <w:p w14:paraId="31E8AA43">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景观营建：道路廊道压实1216.62m</w:t>
      </w:r>
      <w:r>
        <w:rPr>
          <w:rFonts w:hint="eastAsia" w:ascii="Times New Roman" w:hAnsi="Times New Roman" w:eastAsia="仿宋_GB2312" w:cs="Times New Roman"/>
          <w:sz w:val="32"/>
          <w:szCs w:val="32"/>
          <w:vertAlign w:val="superscript"/>
          <w:lang w:eastAsia="zh-CN"/>
        </w:rPr>
        <w:t>2</w:t>
      </w:r>
      <w:r>
        <w:rPr>
          <w:rFonts w:hint="eastAsia" w:ascii="Times New Roman" w:hAnsi="Times New Roman" w:eastAsia="仿宋_GB2312" w:cs="Times New Roman"/>
          <w:sz w:val="32"/>
          <w:szCs w:val="32"/>
          <w:lang w:eastAsia="zh-CN"/>
        </w:rPr>
        <w:t>（农村道路）</w:t>
      </w:r>
    </w:p>
    <w:p w14:paraId="54517710">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监测与管护：监测点14处（含地质、土壤、水质、植被）、8年监测周期；3年管护（除草、防虫、补植、设施维护）。</w:t>
      </w:r>
    </w:p>
    <w:p w14:paraId="75754DC2">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四</w:t>
      </w:r>
      <w:r>
        <w:rPr>
          <w:rFonts w:hint="eastAsia" w:ascii="Times New Roman" w:hAnsi="Times New Roman" w:eastAsia="仿宋_GB2312" w:cs="Times New Roman"/>
          <w:sz w:val="32"/>
          <w:szCs w:val="32"/>
          <w:lang w:eastAsia="zh-CN"/>
        </w:rPr>
        <w:t>）监测措施及期限</w:t>
      </w:r>
    </w:p>
    <w:p w14:paraId="7E2C2B6C">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（1）监测范围</w:t>
      </w:r>
    </w:p>
    <w:p w14:paraId="4042A679">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本次矿山生态修复监测主要围绕消除地质灾害隐患、掌握水土及景观受影响情况、生态修复效果等目标展开，包括了地质环境、水环境、土壤环境、植被景观破坏、植被恢复等主要内容。</w:t>
      </w:r>
    </w:p>
    <w:p w14:paraId="33F1DEFC">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（2）监测期限</w:t>
      </w:r>
    </w:p>
    <w:p w14:paraId="7857D3B1">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监测工作涵盖整个适用年限，自2026年10月至2034年10月（8年）。</w:t>
      </w:r>
    </w:p>
    <w:p w14:paraId="1B65688E">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（3）监测工程量</w:t>
      </w:r>
    </w:p>
    <w:p w14:paraId="4CC4C054">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监测面积3.5229hm²，监测点14处（含地质、土壤、水质、植被）、8年监测周期。</w:t>
      </w:r>
    </w:p>
    <w:p w14:paraId="65593684">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五</w:t>
      </w:r>
      <w:r>
        <w:rPr>
          <w:rFonts w:hint="eastAsia" w:ascii="Times New Roman" w:hAnsi="Times New Roman" w:eastAsia="仿宋_GB2312" w:cs="Times New Roman"/>
          <w:sz w:val="32"/>
          <w:szCs w:val="32"/>
          <w:lang w:eastAsia="zh-CN"/>
        </w:rPr>
        <w:t>）投资总额</w:t>
      </w:r>
    </w:p>
    <w:p w14:paraId="73C5DA38">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本项目生态修复面积3.5229hm</w:t>
      </w:r>
      <w:r>
        <w:rPr>
          <w:rFonts w:hint="eastAsia" w:ascii="Times New Roman" w:hAnsi="Times New Roman" w:eastAsia="仿宋_GB2312" w:cs="Times New Roman"/>
          <w:sz w:val="32"/>
          <w:szCs w:val="32"/>
          <w:vertAlign w:val="superscript"/>
          <w:lang w:eastAsia="zh-CN"/>
        </w:rPr>
        <w:t>2</w:t>
      </w:r>
      <w:r>
        <w:rPr>
          <w:rFonts w:hint="eastAsia" w:ascii="Times New Roman" w:hAnsi="Times New Roman" w:eastAsia="仿宋_GB2312" w:cs="Times New Roman"/>
          <w:sz w:val="32"/>
          <w:szCs w:val="32"/>
          <w:lang w:eastAsia="zh-CN"/>
        </w:rPr>
        <w:t>，静态总投资101.11万元，静态亩均投资19134元/亩；修复动态总投资121.87万元，动态亩均投资23062元/亩；</w:t>
      </w:r>
      <w:r>
        <w:rPr>
          <w:rFonts w:hint="eastAsia" w:eastAsia="仿宋_GB2312" w:cs="Times New Roman"/>
          <w:sz w:val="32"/>
          <w:szCs w:val="32"/>
          <w:lang w:eastAsia="zh-CN"/>
        </w:rPr>
        <w:t>禄劝民发建材有限责任公司</w:t>
      </w:r>
      <w:r>
        <w:rPr>
          <w:rFonts w:hint="eastAsia" w:ascii="Times New Roman" w:hAnsi="Times New Roman" w:eastAsia="仿宋_GB2312" w:cs="Times New Roman"/>
          <w:sz w:val="32"/>
          <w:szCs w:val="32"/>
          <w:lang w:eastAsia="zh-CN"/>
        </w:rPr>
        <w:t>应当按照规定足额提取矿区生态修复费用，专门用于矿区生态修复，矿区生态修复费用计入成本。</w:t>
      </w:r>
    </w:p>
    <w:p w14:paraId="7CBE9218">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r>
        <w:rPr>
          <w:rFonts w:hint="eastAsia" w:eastAsia="仿宋_GB2312" w:cs="Times New Roman"/>
          <w:sz w:val="32"/>
          <w:szCs w:val="32"/>
          <w:lang w:eastAsia="zh-CN"/>
        </w:rPr>
        <w:t>禄劝民发建材有限责任公司</w:t>
      </w:r>
      <w:r>
        <w:rPr>
          <w:rFonts w:hint="eastAsia" w:ascii="Times New Roman" w:hAnsi="Times New Roman" w:eastAsia="仿宋_GB2312" w:cs="Times New Roman"/>
          <w:sz w:val="32"/>
          <w:szCs w:val="32"/>
          <w:lang w:eastAsia="zh-CN"/>
        </w:rPr>
        <w:t>应实行动态投资监控，生态修复费做到专款专用，费用不足的，要及时足额追加投资，确保矿区生态修复工作的顺利进行。</w:t>
      </w:r>
    </w:p>
    <w:p w14:paraId="3BBAE5D1">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二、建议</w:t>
      </w:r>
    </w:p>
    <w:p w14:paraId="56A37B6C">
      <w:pPr>
        <w:pageBreakBefore w:val="0"/>
        <w:kinsoku/>
        <w:wordWrap/>
        <w:overflowPunct/>
        <w:topLinePunct w:val="0"/>
        <w:autoSpaceDE w:val="0"/>
        <w:autoSpaceDN w:val="0"/>
        <w:bidi w:val="0"/>
        <w:ind w:firstLine="56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根据《矿区生态修复方案编制指南（临时）》文件要求，本方案不代替相关工程勘查、工程设计等，涉及地质灾害、水土流失、环境污染、固体废物利用等治理工程部署不列入本方案，可参照相应行业技术标准要求完成治理工程。</w:t>
      </w:r>
    </w:p>
    <w:p w14:paraId="50FD95C8">
      <w:pPr>
        <w:pageBreakBefore w:val="0"/>
        <w:kinsoku/>
        <w:wordWrap/>
        <w:overflowPunct/>
        <w:topLinePunct w:val="0"/>
        <w:autoSpaceDE w:val="0"/>
        <w:autoSpaceDN w:val="0"/>
        <w:bidi w:val="0"/>
        <w:ind w:firstLine="56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针对矿山开采边坡、工业场地等可能遭受的高位远程地质灾害（含采动斜坡失稳），矿业权人应根据《地质灾害群测群防工作制度》建立切实有效、正常运转的群测群防体系，加强巡查和监测预警工作，一旦发生地质灾害或重大险情，及时启动应急预案，将因灾损失降到最低；并对其采取专项工程勘查、工程设计、工程治理和监测预警等。</w:t>
      </w:r>
    </w:p>
    <w:p w14:paraId="2D0DDFB9">
      <w:pPr>
        <w:pageBreakBefore w:val="0"/>
        <w:kinsoku/>
        <w:wordWrap/>
        <w:overflowPunct/>
        <w:topLinePunct w:val="0"/>
        <w:autoSpaceDE w:val="0"/>
        <w:autoSpaceDN w:val="0"/>
        <w:bidi w:val="0"/>
        <w:ind w:firstLine="56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矿山开采后采空区边坡坡度较大和开采活动影响严重地段均为滑坡、崩塌易发区，为预防斜坡产生的危害，应及时进行定点监测。由于滑坡、崩塌发生地点、时间、规模的不确定性，因此本方案仅进行工程措施和工程量初步预测。今后应</w:t>
      </w:r>
      <w:r>
        <w:rPr>
          <w:rFonts w:hint="eastAsia" w:eastAsia="仿宋_GB2312" w:cs="Times New Roman"/>
          <w:sz w:val="32"/>
          <w:szCs w:val="32"/>
          <w:lang w:val="en-US" w:eastAsia="zh-CN"/>
        </w:rPr>
        <w:t>由</w:t>
      </w:r>
      <w:r>
        <w:rPr>
          <w:rFonts w:hint="default" w:ascii="Times New Roman" w:hAnsi="Times New Roman" w:eastAsia="仿宋_GB2312" w:cs="Times New Roman"/>
          <w:sz w:val="32"/>
          <w:szCs w:val="32"/>
          <w:lang w:val="en-US" w:eastAsia="zh-CN"/>
        </w:rPr>
        <w:t>矿业权人需做好地质灾害监测，若产生地质灾害应及时根据地质灾害的类型、位置、规模等要素委托具有相关资质的单位进行专项设计。</w:t>
      </w:r>
    </w:p>
    <w:p w14:paraId="0B6AEAEC">
      <w:pPr>
        <w:pageBreakBefore w:val="0"/>
        <w:kinsoku/>
        <w:wordWrap/>
        <w:overflowPunct/>
        <w:topLinePunct w:val="0"/>
        <w:autoSpaceDE w:val="0"/>
        <w:autoSpaceDN w:val="0"/>
        <w:bidi w:val="0"/>
        <w:ind w:firstLine="56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矿山开采时应认真贯彻“预防为主，防治结合，尽量减少对生态环境的扰动破坏”的原则，并严格按《开采方案》设计进行开采。本方案是依据现有《开采方案》设计进行分析的，若《开采方案》发生变动，应修订或重新编制矿区生态修复方案。</w:t>
      </w:r>
    </w:p>
    <w:p w14:paraId="5A9E8AC3">
      <w:pPr>
        <w:pageBreakBefore w:val="0"/>
        <w:kinsoku/>
        <w:wordWrap/>
        <w:overflowPunct/>
        <w:topLinePunct w:val="0"/>
        <w:autoSpaceDE w:val="0"/>
        <w:autoSpaceDN w:val="0"/>
        <w:bidi w:val="0"/>
        <w:ind w:firstLine="56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5、矿山应根据本方案年度实施计划，按照“边开采、边修复”的原则，及时对损毁后不再利用区域采取修复措施。</w:t>
      </w:r>
    </w:p>
    <w:p w14:paraId="25604C7D">
      <w:pPr>
        <w:pageBreakBefore w:val="0"/>
        <w:kinsoku/>
        <w:wordWrap/>
        <w:overflowPunct/>
        <w:topLinePunct w:val="0"/>
        <w:autoSpaceDE w:val="0"/>
        <w:autoSpaceDN w:val="0"/>
        <w:bidi w:val="0"/>
        <w:ind w:firstLine="56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6、在实施本矿区生态修复方案的过程中要积极与行政主管部门联系，听取</w:t>
      </w:r>
      <w:r>
        <w:rPr>
          <w:rFonts w:hint="eastAsia" w:eastAsia="仿宋_GB2312" w:cs="Times New Roman"/>
          <w:sz w:val="32"/>
          <w:szCs w:val="32"/>
          <w:lang w:val="en-US" w:eastAsia="zh-CN"/>
        </w:rPr>
        <w:t>其</w:t>
      </w:r>
      <w:r>
        <w:rPr>
          <w:rFonts w:hint="default" w:ascii="Times New Roman" w:hAnsi="Times New Roman" w:eastAsia="仿宋_GB2312" w:cs="Times New Roman"/>
          <w:sz w:val="32"/>
          <w:szCs w:val="32"/>
          <w:lang w:val="en-US" w:eastAsia="zh-CN"/>
        </w:rPr>
        <w:t>技术指导，确保方案顺利实施。及时开展修复区验收工作。矿山闭坑开展全面修复前，原则上应依据矿区生态修复方案编制规划设计或施工设计，并对前期工作计划实施、年度和阶段性验收等情况进行全面复核，确保矿区生态修复总体完成并验收。验收完成后矿山企业应按方案要求继续管护。</w:t>
      </w:r>
    </w:p>
    <w:p w14:paraId="610BC88A">
      <w:pPr>
        <w:pageBreakBefore w:val="0"/>
        <w:kinsoku/>
        <w:wordWrap/>
        <w:overflowPunct/>
        <w:topLinePunct w:val="0"/>
        <w:autoSpaceDE w:val="0"/>
        <w:autoSpaceDN w:val="0"/>
        <w:bidi w:val="0"/>
        <w:ind w:firstLine="560"/>
        <w:textAlignment w:val="auto"/>
        <w:rPr>
          <w:rFonts w:hint="default" w:ascii="Times New Roman" w:hAnsi="Times New Roman" w:eastAsia="仿宋_GB2312" w:cs="Times New Roman"/>
          <w:sz w:val="32"/>
          <w:szCs w:val="32"/>
          <w:lang w:val="en-US" w:eastAsia="zh-CN"/>
        </w:rPr>
      </w:pPr>
      <w:bookmarkStart w:id="8" w:name="_GoBack"/>
      <w:r>
        <w:rPr>
          <w:rFonts w:hint="default" w:ascii="Times New Roman" w:hAnsi="Times New Roman" w:eastAsia="仿宋_GB2312" w:cs="Times New Roman"/>
          <w:sz w:val="32"/>
          <w:szCs w:val="32"/>
          <w:lang w:val="en-US" w:eastAsia="zh-CN"/>
        </w:rPr>
        <w:t>7、</w:t>
      </w:r>
      <w:bookmarkEnd w:id="8"/>
      <w:r>
        <w:rPr>
          <w:rFonts w:hint="default" w:ascii="Times New Roman" w:hAnsi="Times New Roman" w:eastAsia="仿宋_GB2312" w:cs="Times New Roman"/>
          <w:sz w:val="32"/>
          <w:szCs w:val="32"/>
          <w:lang w:val="en-US" w:eastAsia="zh-CN"/>
        </w:rPr>
        <w:t>建议矿山企业及时编制《水土保持方案》《环境影响报告书》等，并与本方案生态修复措施共同形成系统、全面的防治体系。</w:t>
      </w:r>
    </w:p>
    <w:p w14:paraId="0AE9D8C2">
      <w:pPr>
        <w:pageBreakBefore w:val="0"/>
        <w:kinsoku/>
        <w:wordWrap/>
        <w:overflowPunct/>
        <w:topLinePunct w:val="0"/>
        <w:autoSpaceDE w:val="0"/>
        <w:autoSpaceDN w:val="0"/>
        <w:bidi w:val="0"/>
        <w:ind w:firstLine="560"/>
        <w:textAlignment w:val="auto"/>
        <w:rPr>
          <w:rFonts w:hint="default" w:ascii="Times New Roman" w:hAnsi="Times New Roman" w:eastAsia="仿宋_GB2312" w:cs="Times New Roman"/>
          <w:sz w:val="32"/>
          <w:szCs w:val="32"/>
          <w:lang w:val="en-US" w:eastAsia="zh-CN"/>
        </w:rPr>
      </w:pPr>
    </w:p>
    <w:p w14:paraId="6F235EC6">
      <w:pPr>
        <w:pageBreakBefore w:val="0"/>
        <w:kinsoku/>
        <w:wordWrap/>
        <w:overflowPunct/>
        <w:topLinePunct w:val="0"/>
        <w:autoSpaceDE w:val="0"/>
        <w:autoSpaceDN w:val="0"/>
        <w:bidi w:val="0"/>
        <w:ind w:firstLine="560"/>
        <w:textAlignment w:val="auto"/>
        <w:rPr>
          <w:rFonts w:hint="eastAsia" w:ascii="Times New Roman" w:hAnsi="Times New Roman" w:eastAsia="仿宋_GB2312" w:cs="Times New Roman"/>
          <w:sz w:val="32"/>
          <w:szCs w:val="32"/>
          <w:lang w:eastAsia="zh-CN"/>
        </w:rPr>
      </w:pPr>
    </w:p>
    <w:p w14:paraId="4726D097">
      <w:pPr>
        <w:pageBreakBefore w:val="0"/>
        <w:kinsoku/>
        <w:wordWrap/>
        <w:overflowPunct/>
        <w:topLinePunct w:val="0"/>
        <w:autoSpaceDE w:val="0"/>
        <w:autoSpaceDN w:val="0"/>
        <w:bidi w:val="0"/>
        <w:ind w:left="0" w:leftChars="0" w:firstLine="0" w:firstLineChars="0"/>
        <w:textAlignment w:val="auto"/>
        <w:rPr>
          <w:rFonts w:hint="eastAsia" w:ascii="宋体" w:hAnsi="宋体" w:cs="宋体"/>
          <w:kern w:val="0"/>
          <w:sz w:val="28"/>
          <w:szCs w:val="22"/>
        </w:rPr>
      </w:pPr>
    </w:p>
    <w:sectPr>
      <w:headerReference r:id="rId11" w:type="default"/>
      <w:footerReference r:id="rId12" w:type="default"/>
      <w:pgSz w:w="11906" w:h="16838"/>
      <w:pgMar w:top="1157" w:right="1519" w:bottom="1270" w:left="1463"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7491"/>
    </w:sdtPr>
    <w:sdtEndPr>
      <w:rPr>
        <w:sz w:val="18"/>
        <w:szCs w:val="18"/>
      </w:rPr>
    </w:sdtEndPr>
    <w:sdtContent>
      <w:p w14:paraId="7DBC4CCE">
        <w:pPr>
          <w:tabs>
            <w:tab w:val="center" w:pos="4153"/>
            <w:tab w:val="right" w:pos="8306"/>
          </w:tabs>
          <w:snapToGrid w:val="0"/>
          <w:ind w:firstLine="480"/>
          <w:jc w:val="center"/>
          <w:rPr>
            <w:sz w:val="18"/>
            <w:szCs w:val="18"/>
          </w:rPr>
        </w:pPr>
        <w:r>
          <w:rPr>
            <w:sz w:val="18"/>
            <w:szCs w:val="18"/>
          </w:rPr>
          <w:fldChar w:fldCharType="begin"/>
        </w:r>
        <w:r>
          <w:rPr>
            <w:sz w:val="18"/>
            <w:szCs w:val="18"/>
          </w:rPr>
          <w:instrText xml:space="preserve">PAGE   \* MERGEFORMAT</w:instrText>
        </w:r>
        <w:r>
          <w:rPr>
            <w:sz w:val="18"/>
            <w:szCs w:val="18"/>
          </w:rPr>
          <w:fldChar w:fldCharType="separate"/>
        </w:r>
        <w:r>
          <w:rPr>
            <w:sz w:val="18"/>
            <w:szCs w:val="18"/>
            <w:lang w:val="zh-CN"/>
          </w:rPr>
          <w:t>-</w:t>
        </w:r>
        <w:r>
          <w:rPr>
            <w:sz w:val="18"/>
            <w:szCs w:val="18"/>
          </w:rPr>
          <w:t xml:space="preserve"> 1 -</w:t>
        </w:r>
        <w:r>
          <w:rPr>
            <w:sz w:val="18"/>
            <w:szCs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D51B6">
    <w:pPr>
      <w:tabs>
        <w:tab w:val="center" w:pos="4153"/>
        <w:tab w:val="right" w:pos="8306"/>
      </w:tabs>
      <w:snapToGrid w:val="0"/>
      <w:ind w:firstLine="360"/>
      <w:jc w:val="left"/>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1A1FB">
    <w:pPr>
      <w:pStyle w:val="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2417133"/>
    </w:sdtPr>
    <w:sdtContent>
      <w:p w14:paraId="010EB52D">
        <w:pPr>
          <w:pStyle w:val="6"/>
          <w:ind w:firstLine="360"/>
          <w:jc w:val="center"/>
        </w:pPr>
        <w:r>
          <w:fldChar w:fldCharType="begin"/>
        </w:r>
        <w:r>
          <w:instrText xml:space="preserve">PAGE   \* MERGEFORMAT</w:instrText>
        </w:r>
        <w:r>
          <w:fldChar w:fldCharType="separate"/>
        </w:r>
        <w:r>
          <w:rPr>
            <w:lang w:val="zh-CN"/>
          </w:rPr>
          <w:t>23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C00D1">
    <w:pPr>
      <w:pBdr>
        <w:bottom w:val="single" w:color="auto" w:sz="6" w:space="1"/>
      </w:pBdr>
      <w:tabs>
        <w:tab w:val="center" w:pos="4153"/>
        <w:tab w:val="right" w:pos="8306"/>
      </w:tabs>
      <w:snapToGrid w:val="0"/>
      <w:spacing w:line="240" w:lineRule="atLeast"/>
      <w:ind w:firstLine="0" w:firstLineChars="0"/>
      <w:jc w:val="center"/>
      <w:rPr>
        <w:sz w:val="21"/>
        <w:szCs w:val="21"/>
      </w:rPr>
    </w:pPr>
    <w:r>
      <w:rPr>
        <w:rFonts w:hint="eastAsia"/>
        <w:sz w:val="21"/>
        <w:szCs w:val="21"/>
      </w:rPr>
      <w:t>富民健成矿业有限公司钛选厂矿山地质环境保护与土地复垦方案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08933">
    <w:pPr>
      <w:pBdr>
        <w:bottom w:val="single" w:color="auto" w:sz="6" w:space="1"/>
      </w:pBdr>
      <w:tabs>
        <w:tab w:val="center" w:pos="4153"/>
        <w:tab w:val="right" w:pos="8306"/>
      </w:tabs>
      <w:snapToGrid w:val="0"/>
      <w:ind w:firstLine="360"/>
      <w:jc w:val="center"/>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83D2F">
    <w:pPr>
      <w:pStyle w:val="7"/>
      <w:pBdr>
        <w:bottom w:val="none" w:color="auto" w:sz="0" w:space="1"/>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C8C49">
    <w:pPr>
      <w:pStyle w:val="7"/>
      <w:pBdr>
        <w:bottom w:val="none" w:color="auto" w:sz="0" w:space="1"/>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BD51B8"/>
    <w:rsid w:val="000241C4"/>
    <w:rsid w:val="000F4259"/>
    <w:rsid w:val="00124229"/>
    <w:rsid w:val="00200ACF"/>
    <w:rsid w:val="002526C2"/>
    <w:rsid w:val="002C76AA"/>
    <w:rsid w:val="003132EB"/>
    <w:rsid w:val="00633AF8"/>
    <w:rsid w:val="008A2147"/>
    <w:rsid w:val="009911EA"/>
    <w:rsid w:val="009E2C72"/>
    <w:rsid w:val="00AD0A8D"/>
    <w:rsid w:val="00BB7608"/>
    <w:rsid w:val="00C27074"/>
    <w:rsid w:val="00C35F56"/>
    <w:rsid w:val="00D174D5"/>
    <w:rsid w:val="00DC2850"/>
    <w:rsid w:val="01355DAA"/>
    <w:rsid w:val="01E82C92"/>
    <w:rsid w:val="0224062E"/>
    <w:rsid w:val="02A96313"/>
    <w:rsid w:val="02BC7D06"/>
    <w:rsid w:val="0465519A"/>
    <w:rsid w:val="04D3294A"/>
    <w:rsid w:val="04DD6697"/>
    <w:rsid w:val="04DF5F2E"/>
    <w:rsid w:val="05393DE0"/>
    <w:rsid w:val="05455393"/>
    <w:rsid w:val="0590510B"/>
    <w:rsid w:val="06345E06"/>
    <w:rsid w:val="071F6AB6"/>
    <w:rsid w:val="078173FC"/>
    <w:rsid w:val="07F54307"/>
    <w:rsid w:val="082425D6"/>
    <w:rsid w:val="0A120796"/>
    <w:rsid w:val="0A326B00"/>
    <w:rsid w:val="0B593F41"/>
    <w:rsid w:val="0B7C44D7"/>
    <w:rsid w:val="0C2F54AF"/>
    <w:rsid w:val="0D057296"/>
    <w:rsid w:val="0D756F2C"/>
    <w:rsid w:val="0DC607C4"/>
    <w:rsid w:val="0DCC56F0"/>
    <w:rsid w:val="0E326D66"/>
    <w:rsid w:val="0E806F54"/>
    <w:rsid w:val="0EFD148A"/>
    <w:rsid w:val="10437371"/>
    <w:rsid w:val="106A7DBE"/>
    <w:rsid w:val="108623A9"/>
    <w:rsid w:val="10C54117"/>
    <w:rsid w:val="10C61D50"/>
    <w:rsid w:val="10FC2980"/>
    <w:rsid w:val="11625F1D"/>
    <w:rsid w:val="124949E7"/>
    <w:rsid w:val="132A707B"/>
    <w:rsid w:val="14850066"/>
    <w:rsid w:val="14C30B5D"/>
    <w:rsid w:val="154C4F1A"/>
    <w:rsid w:val="15C72A4F"/>
    <w:rsid w:val="15DF3AA3"/>
    <w:rsid w:val="15E63BDA"/>
    <w:rsid w:val="163B5BF3"/>
    <w:rsid w:val="167D1103"/>
    <w:rsid w:val="17C87E5C"/>
    <w:rsid w:val="181D494B"/>
    <w:rsid w:val="181D6E83"/>
    <w:rsid w:val="18A312F5"/>
    <w:rsid w:val="18A4758F"/>
    <w:rsid w:val="18AB2394"/>
    <w:rsid w:val="19137111"/>
    <w:rsid w:val="19D968EA"/>
    <w:rsid w:val="1ADF238C"/>
    <w:rsid w:val="1B74431A"/>
    <w:rsid w:val="1BFC2400"/>
    <w:rsid w:val="1C2838BF"/>
    <w:rsid w:val="1C7870A4"/>
    <w:rsid w:val="1CF814E3"/>
    <w:rsid w:val="1D513780"/>
    <w:rsid w:val="1D7A555D"/>
    <w:rsid w:val="1DB47B00"/>
    <w:rsid w:val="1DCE09AE"/>
    <w:rsid w:val="1DFB128B"/>
    <w:rsid w:val="1E2173A0"/>
    <w:rsid w:val="1EAF2239"/>
    <w:rsid w:val="1F174141"/>
    <w:rsid w:val="20C52DD8"/>
    <w:rsid w:val="20DC1D24"/>
    <w:rsid w:val="20E57FD0"/>
    <w:rsid w:val="21867140"/>
    <w:rsid w:val="21876CF9"/>
    <w:rsid w:val="21E045A9"/>
    <w:rsid w:val="21F42BC9"/>
    <w:rsid w:val="228710B6"/>
    <w:rsid w:val="22F23915"/>
    <w:rsid w:val="23567F48"/>
    <w:rsid w:val="236F5656"/>
    <w:rsid w:val="23B76863"/>
    <w:rsid w:val="250A1156"/>
    <w:rsid w:val="25A83A70"/>
    <w:rsid w:val="25C36217"/>
    <w:rsid w:val="25E5790C"/>
    <w:rsid w:val="264E652F"/>
    <w:rsid w:val="265E0CC2"/>
    <w:rsid w:val="27E05558"/>
    <w:rsid w:val="28205008"/>
    <w:rsid w:val="28245882"/>
    <w:rsid w:val="2A9F1C41"/>
    <w:rsid w:val="2ABE5F24"/>
    <w:rsid w:val="2B476AC3"/>
    <w:rsid w:val="2B64095F"/>
    <w:rsid w:val="2B8072A0"/>
    <w:rsid w:val="2C1A1476"/>
    <w:rsid w:val="2C3649CE"/>
    <w:rsid w:val="2C721A69"/>
    <w:rsid w:val="2D144117"/>
    <w:rsid w:val="2DC86C5A"/>
    <w:rsid w:val="2E2D0305"/>
    <w:rsid w:val="2E97408B"/>
    <w:rsid w:val="2F804B7B"/>
    <w:rsid w:val="302F0505"/>
    <w:rsid w:val="309F65D2"/>
    <w:rsid w:val="31C418C9"/>
    <w:rsid w:val="31D833EC"/>
    <w:rsid w:val="33004250"/>
    <w:rsid w:val="33321EB6"/>
    <w:rsid w:val="339A4C4A"/>
    <w:rsid w:val="33C74824"/>
    <w:rsid w:val="33D771A3"/>
    <w:rsid w:val="34170E8E"/>
    <w:rsid w:val="34965FBD"/>
    <w:rsid w:val="36E14CAC"/>
    <w:rsid w:val="38DF38C3"/>
    <w:rsid w:val="39A20CFD"/>
    <w:rsid w:val="39E82BB3"/>
    <w:rsid w:val="3A9C454A"/>
    <w:rsid w:val="3ABA0901"/>
    <w:rsid w:val="3B501E13"/>
    <w:rsid w:val="3C1476D5"/>
    <w:rsid w:val="3CC5513E"/>
    <w:rsid w:val="3D0C4CD1"/>
    <w:rsid w:val="3D8717E3"/>
    <w:rsid w:val="3EC456A8"/>
    <w:rsid w:val="3FC400FB"/>
    <w:rsid w:val="3FF62BA3"/>
    <w:rsid w:val="40800FE0"/>
    <w:rsid w:val="40C46F5B"/>
    <w:rsid w:val="4251236F"/>
    <w:rsid w:val="42535A7C"/>
    <w:rsid w:val="42D420AA"/>
    <w:rsid w:val="43237A65"/>
    <w:rsid w:val="43346307"/>
    <w:rsid w:val="43C678E3"/>
    <w:rsid w:val="45197811"/>
    <w:rsid w:val="46827EEC"/>
    <w:rsid w:val="4755115C"/>
    <w:rsid w:val="48A45B0E"/>
    <w:rsid w:val="4918364A"/>
    <w:rsid w:val="49183BC1"/>
    <w:rsid w:val="49E83665"/>
    <w:rsid w:val="4AB609E7"/>
    <w:rsid w:val="4BD81DD9"/>
    <w:rsid w:val="4D5E3F19"/>
    <w:rsid w:val="4D7421D6"/>
    <w:rsid w:val="4E482F6E"/>
    <w:rsid w:val="4FCE73C8"/>
    <w:rsid w:val="4FD70802"/>
    <w:rsid w:val="502F6BAC"/>
    <w:rsid w:val="50696D9E"/>
    <w:rsid w:val="509A34B1"/>
    <w:rsid w:val="50E83EC0"/>
    <w:rsid w:val="50E91F61"/>
    <w:rsid w:val="52D12BEE"/>
    <w:rsid w:val="53475632"/>
    <w:rsid w:val="53B8471A"/>
    <w:rsid w:val="53CC67DD"/>
    <w:rsid w:val="53F417CF"/>
    <w:rsid w:val="540A7CD2"/>
    <w:rsid w:val="55996800"/>
    <w:rsid w:val="55B55F10"/>
    <w:rsid w:val="55D122F6"/>
    <w:rsid w:val="55D65D48"/>
    <w:rsid w:val="56600384"/>
    <w:rsid w:val="57C41BF1"/>
    <w:rsid w:val="58597CE7"/>
    <w:rsid w:val="588B099D"/>
    <w:rsid w:val="58A536B0"/>
    <w:rsid w:val="58C63711"/>
    <w:rsid w:val="591357B2"/>
    <w:rsid w:val="5A93401E"/>
    <w:rsid w:val="5BBA7A7A"/>
    <w:rsid w:val="5C33048B"/>
    <w:rsid w:val="5CD2175C"/>
    <w:rsid w:val="5D521F6E"/>
    <w:rsid w:val="5E353042"/>
    <w:rsid w:val="5E7F22CF"/>
    <w:rsid w:val="5FD51F24"/>
    <w:rsid w:val="601619BF"/>
    <w:rsid w:val="612D6420"/>
    <w:rsid w:val="61386068"/>
    <w:rsid w:val="61FE659D"/>
    <w:rsid w:val="621E001C"/>
    <w:rsid w:val="638D69D7"/>
    <w:rsid w:val="6410376F"/>
    <w:rsid w:val="64623156"/>
    <w:rsid w:val="65164BD1"/>
    <w:rsid w:val="656458B2"/>
    <w:rsid w:val="6594590A"/>
    <w:rsid w:val="66646B63"/>
    <w:rsid w:val="67D75AC6"/>
    <w:rsid w:val="685D7846"/>
    <w:rsid w:val="6959388A"/>
    <w:rsid w:val="6A3F1ACC"/>
    <w:rsid w:val="6ADC0685"/>
    <w:rsid w:val="6B117DD0"/>
    <w:rsid w:val="6C5C0714"/>
    <w:rsid w:val="6C7F3BC9"/>
    <w:rsid w:val="6D311EC7"/>
    <w:rsid w:val="6D350F65"/>
    <w:rsid w:val="6DBB664D"/>
    <w:rsid w:val="6DBD51B8"/>
    <w:rsid w:val="6E0628E0"/>
    <w:rsid w:val="6F1E39D6"/>
    <w:rsid w:val="6F665E77"/>
    <w:rsid w:val="6F9E3748"/>
    <w:rsid w:val="6FB415E8"/>
    <w:rsid w:val="6FD26388"/>
    <w:rsid w:val="702A0B29"/>
    <w:rsid w:val="705054DB"/>
    <w:rsid w:val="705D2CAC"/>
    <w:rsid w:val="7168781F"/>
    <w:rsid w:val="71C14E75"/>
    <w:rsid w:val="71FB2C7D"/>
    <w:rsid w:val="722424EC"/>
    <w:rsid w:val="72A50B6D"/>
    <w:rsid w:val="735C4486"/>
    <w:rsid w:val="73762D4A"/>
    <w:rsid w:val="73A74215"/>
    <w:rsid w:val="73AB1CF8"/>
    <w:rsid w:val="74C74B98"/>
    <w:rsid w:val="75722D56"/>
    <w:rsid w:val="758F1B5A"/>
    <w:rsid w:val="760F4773"/>
    <w:rsid w:val="76FA1263"/>
    <w:rsid w:val="77454001"/>
    <w:rsid w:val="782E2738"/>
    <w:rsid w:val="79FB1583"/>
    <w:rsid w:val="7A912B0E"/>
    <w:rsid w:val="7C33101A"/>
    <w:rsid w:val="7C6F0B02"/>
    <w:rsid w:val="7CAD0B17"/>
    <w:rsid w:val="7CC33288"/>
    <w:rsid w:val="7CCA16C9"/>
    <w:rsid w:val="7DC40101"/>
    <w:rsid w:val="7F762A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9"/>
    <w:pPr>
      <w:keepNext/>
      <w:keepLines/>
      <w:spacing w:before="340" w:after="330" w:line="480" w:lineRule="auto"/>
      <w:jc w:val="center"/>
      <w:outlineLvl w:val="0"/>
    </w:pPr>
    <w:rPr>
      <w:rFonts w:ascii="宋体" w:hAnsi="宋体" w:eastAsia="黑体" w:cs="宋体"/>
      <w:b/>
      <w:bCs/>
      <w:kern w:val="44"/>
      <w:sz w:val="32"/>
      <w:szCs w:val="44"/>
      <w:lang w:val="en-US" w:eastAsia="en-US" w:bidi="ar-SA"/>
    </w:rPr>
  </w:style>
  <w:style w:type="paragraph" w:styleId="3">
    <w:name w:val="heading 2"/>
    <w:basedOn w:val="1"/>
    <w:next w:val="1"/>
    <w:qFormat/>
    <w:uiPriority w:val="0"/>
    <w:pPr>
      <w:keepNext/>
      <w:keepLines/>
      <w:ind w:firstLine="0" w:firstLineChars="0"/>
      <w:jc w:val="left"/>
      <w:outlineLvl w:val="1"/>
    </w:pPr>
    <w:rPr>
      <w:rFonts w:ascii="Arial" w:hAnsi="Arial" w:eastAsia="黑体"/>
      <w:b/>
      <w:bCs/>
      <w:sz w:val="32"/>
      <w:szCs w:val="32"/>
    </w:rPr>
  </w:style>
  <w:style w:type="paragraph" w:styleId="4">
    <w:name w:val="heading 3"/>
    <w:basedOn w:val="1"/>
    <w:next w:val="1"/>
    <w:link w:val="15"/>
    <w:qFormat/>
    <w:uiPriority w:val="0"/>
    <w:pPr>
      <w:keepNext/>
      <w:keepLines/>
      <w:spacing w:line="413" w:lineRule="auto"/>
      <w:ind w:firstLine="0" w:firstLineChars="0"/>
      <w:outlineLvl w:val="2"/>
    </w:pPr>
    <w:rPr>
      <w:rFonts w:eastAsia="黑体"/>
      <w:bCs/>
      <w:sz w:val="30"/>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4"/>
    <w:qFormat/>
    <w:uiPriority w:val="0"/>
    <w:pPr>
      <w:spacing w:line="240" w:lineRule="auto"/>
    </w:pPr>
    <w:rPr>
      <w:sz w:val="18"/>
      <w:szCs w:val="18"/>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2">
    <w:name w:val="正文2"/>
    <w:basedOn w:val="1"/>
    <w:qFormat/>
    <w:uiPriority w:val="0"/>
    <w:pPr>
      <w:widowControl/>
      <w:jc w:val="center"/>
    </w:pPr>
    <w:rPr>
      <w:rFonts w:ascii="Calibri" w:hAnsi="Calibri" w:cs="宋体"/>
      <w:color w:val="000000"/>
    </w:rPr>
  </w:style>
  <w:style w:type="paragraph" w:customStyle="1" w:styleId="13">
    <w:name w:val="段"/>
    <w:qFormat/>
    <w:uiPriority w:val="0"/>
    <w:pPr>
      <w:autoSpaceDE w:val="0"/>
      <w:autoSpaceDN w:val="0"/>
      <w:ind w:firstLine="200" w:firstLineChars="200"/>
      <w:jc w:val="both"/>
    </w:pPr>
    <w:rPr>
      <w:rFonts w:ascii="宋体" w:hAnsi="Times New Roman" w:eastAsia="宋体" w:cs="Times New Roman"/>
      <w:kern w:val="2"/>
      <w:sz w:val="22"/>
      <w:lang w:val="en-US" w:eastAsia="zh-CN" w:bidi="ar-SA"/>
    </w:rPr>
  </w:style>
  <w:style w:type="character" w:customStyle="1" w:styleId="14">
    <w:name w:val="批注框文本 Char"/>
    <w:basedOn w:val="11"/>
    <w:link w:val="5"/>
    <w:qFormat/>
    <w:uiPriority w:val="0"/>
    <w:rPr>
      <w:rFonts w:ascii="Times New Roman" w:hAnsi="Times New Roman" w:eastAsia="宋体" w:cs="Times New Roman"/>
      <w:kern w:val="2"/>
      <w:sz w:val="18"/>
      <w:szCs w:val="18"/>
    </w:rPr>
  </w:style>
  <w:style w:type="character" w:customStyle="1" w:styleId="15">
    <w:name w:val="标题 3 Char"/>
    <w:basedOn w:val="11"/>
    <w:link w:val="4"/>
    <w:qFormat/>
    <w:uiPriority w:val="0"/>
    <w:rPr>
      <w:rFonts w:ascii="Times New Roman" w:hAnsi="Times New Roman" w:eastAsia="黑体" w:cs="Times New Roman"/>
      <w:bCs/>
      <w:kern w:val="2"/>
      <w:sz w:val="30"/>
      <w:szCs w:val="32"/>
    </w:rPr>
  </w:style>
  <w:style w:type="table" w:customStyle="1" w:styleId="16">
    <w:name w:val="Table Normal"/>
    <w:semiHidden/>
    <w:qFormat/>
    <w:uiPriority w:val="0"/>
    <w:rPr>
      <w:rFonts w:ascii="Arial" w:hAnsi="Arial" w:eastAsia="Times New Roman" w:cs="Arial"/>
    </w:rPr>
    <w:tblPr>
      <w:tblCellMar>
        <w:top w:w="0" w:type="dxa"/>
        <w:left w:w="0" w:type="dxa"/>
        <w:bottom w:w="0" w:type="dxa"/>
        <w:right w:w="0" w:type="dxa"/>
      </w:tblCellMar>
    </w:tblPr>
  </w:style>
  <w:style w:type="paragraph" w:customStyle="1" w:styleId="17">
    <w:name w:val="Table Text"/>
    <w:basedOn w:val="1"/>
    <w:semiHidden/>
    <w:qFormat/>
    <w:uiPriority w:val="0"/>
    <w:pPr>
      <w:widowControl/>
      <w:kinsoku w:val="0"/>
      <w:adjustRightInd w:val="0"/>
      <w:snapToGrid w:val="0"/>
      <w:spacing w:line="240" w:lineRule="auto"/>
      <w:ind w:firstLine="0" w:firstLineChars="0"/>
      <w:jc w:val="left"/>
    </w:pPr>
    <w:rPr>
      <w:rFonts w:ascii="Arial" w:hAnsi="Arial" w:eastAsia="Arial" w:cs="Arial"/>
      <w:color w:val="000000"/>
      <w:sz w:val="21"/>
      <w:szCs w:val="21"/>
    </w:rPr>
  </w:style>
  <w:style w:type="paragraph" w:customStyle="1" w:styleId="18">
    <w:name w:val="样式 标题 1 + 宋体 小二 居中 段前: 0.5 行 段后: 9.85 磅 行距: 1.5 倍行距"/>
    <w:basedOn w:val="2"/>
    <w:qFormat/>
    <w:uiPriority w:val="0"/>
    <w:pPr>
      <w:spacing w:before="156" w:beforeLines="50" w:after="197" w:line="360" w:lineRule="auto"/>
      <w:jc w:val="center"/>
    </w:pPr>
    <w:rPr>
      <w:rFonts w:ascii="宋体" w:hAnsi="宋体" w:cs="宋体"/>
      <w:sz w:val="32"/>
      <w:szCs w:val="20"/>
    </w:rPr>
  </w:style>
  <w:style w:type="character" w:customStyle="1" w:styleId="19">
    <w:name w:val="样式 (符号) 宋体 小四 黑色"/>
    <w:semiHidden/>
    <w:qFormat/>
    <w:uiPriority w:val="0"/>
    <w:rPr>
      <w:rFonts w:eastAsia="Times New Roman"/>
      <w:color w:val="00000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f4fa0d73-b134-462f-bc4b-75994e554a98</errorID>
      <errorWord>矿区生态修复</errorWord>
      <group>L1_Political</group>
      <groupName>政治性问题</groupName>
      <ability>L2_Keyword</ability>
      <abilityName>固定表述</abilityName>
      <candidateList>
        <item>矿山生态修复</item>
      </candidateList>
      <explain>词汇“矿山生态修复”在特定场景下为固定表述形式，请确认此处的“矿区生态修复”是否存在不当。</explain>
      <paraID>681C6BED</paraID>
      <start>0</start>
      <end>6</end>
      <status>ignored</status>
      <modifiedWord/>
      <trackRevisions>false</trackRevisions>
    </reviewItem>
    <reviewItem>
      <errorID>4dbfc8a3-0328-4a19-bf5d-90a74601448d</errorID>
      <errorWord>矿区生态修复</errorWord>
      <group>L1_Political</group>
      <groupName>政治性问题</groupName>
      <ability>L2_Keyword</ability>
      <abilityName>固定表述</abilityName>
      <candidateList>
        <item>矿山生态修复</item>
      </candidateList>
      <explain>词汇“矿山生态修复”在特定场景下为固定表述形式，请确认此处的“矿区生态修复”是否存在不当。</explain>
      <paraID>21633BA9</paraID>
      <start>5</start>
      <end>11</end>
      <status>ignored</status>
      <modifiedWord/>
      <trackRevisions>false</trackRevisions>
    </reviewItem>
    <reviewItem>
      <errorID>2328ca47-ab85-4a4f-af39-4e0d01d60454</errorID>
      <errorWord>禄劝县</errorWord>
      <group>L1_Knowledge</group>
      <groupName>知识性问题</groupName>
      <ability>L2_Location</ability>
      <abilityName>地名检查</abilityName>
      <candidateList>
        <item>禄劝彝族苗族自治县</item>
      </candidateList>
      <explain>自治区州县缩写不规范。《地名管理条例》第十八条规定，标识牌、公共平台发布的信息、各类公文证件、学习类公开出版物、地图、法律法规规定等场景范围内必须使用标准地名。</explain>
      <paraID>4525DEA9</paraID>
      <start>0</start>
      <end>3</end>
      <status>ignored</status>
      <modifiedWord/>
      <trackRevisions>false</trackRevisions>
    </reviewItem>
    <reviewItem>
      <errorID>e86d5b72-4729-4466-8f30-b40feac8c1c7</errorID>
      <errorWord>屏山镇</errorWord>
      <group>L1_Word</group>
      <groupName>字词问题</groupName>
      <ability>L2_Variant</ability>
      <abilityName>异形词</abilityName>
      <candidateList>
        <item>屏山乡</item>
      </candidateList>
      <explain>词汇[屏山镇]的规范词形写作[屏山乡]。</explain>
      <paraID>4525DEA9</paraID>
      <start>3</start>
      <end>6</end>
      <status>ignored</status>
      <modifiedWord/>
      <trackRevisions>false</trackRevisions>
    </reviewItem>
    <reviewItem>
      <errorID>21f98a64-926a-41e4-9da9-e52f11ee82ab</errorID>
      <errorWord>矿区生态修复</errorWord>
      <group>L1_Political</group>
      <groupName>政治性问题</groupName>
      <ability>L2_Keyword</ability>
      <abilityName>固定表述</abilityName>
      <candidateList>
        <item>矿山生态修复</item>
      </candidateList>
      <explain>词汇“矿山生态修复”在特定场景下为固定表述形式，请确认此处的“矿区生态修复”是否存在不当。</explain>
      <paraID>1201D05E</paraID>
      <start>0</start>
      <end>6</end>
      <status>ignored</status>
      <modifiedWord/>
      <trackRevisions>false</trackRevisions>
    </reviewItem>
    <reviewItem>
      <errorID>b5f99c42-8dd0-425a-be19-176aed7c408e</errorID>
      <errorWord>禄劝县</errorWord>
      <group>L1_Knowledge</group>
      <groupName>知识性问题</groupName>
      <ability>L2_Location</ability>
      <abilityName>地名检查</abilityName>
      <candidateList>
        <item>禄劝彝族苗族自治县</item>
      </candidateList>
      <explain>自治区州县缩写不规范。《地名管理条例》第十八条规定，标识牌、公共平台发布的信息、各类公文证件、学习类公开出版物、地图、法律法规规定等场景范围内必须使用标准地名。</explain>
      <paraID>3265A453</paraID>
      <start>266</start>
      <end>269</end>
      <status>ignored</status>
      <modifiedWord/>
      <trackRevisions>false</trackRevisions>
    </reviewItem>
    <reviewItem>
      <errorID>fe18fb75-dc55-4c33-895e-946aaf2f2c9f</errorID>
      <errorWord>-</errorWord>
      <group>L1_Format</group>
      <groupName>格式问题</groupName>
      <ability>L2_HalfPunc_CN</ability>
      <abilityName>全半角问题</abilityName>
      <candidateList>
        <item>－</item>
      </candidateList>
      <explain>文本全半角错误。</explain>
      <paraID>3265A453</paraID>
      <start>285</start>
      <end>286</end>
      <status>modified</status>
      <modifiedWord>－</modifiedWord>
      <trackRevisions>false</trackRevisions>
    </reviewItem>
    <reviewItem>
      <errorID>3b65ed4e-76f9-42dd-a73b-35d08074eb65</errorID>
      <errorWord>陡坎</errorWord>
      <group>L1_Word</group>
      <groupName>字词问题</groupName>
      <ability>L2_Typo</ability>
      <abilityName>字词错误</abilityName>
      <candidateList>
        <item>陡坡</item>
      </candidateList>
      <explain/>
      <paraID>66A093C2</paraID>
      <start>169</start>
      <end>171</end>
      <status>ignored</status>
      <modifiedWord/>
      <trackRevisions>false</trackRevisions>
    </reviewItem>
    <reviewItem>
      <errorID>c63ea71a-a6b2-42d5-a423-5b71040d90db</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66A093C2</paraID>
      <start>312</start>
      <end>319</end>
      <status>modified</status>
      <modifiedWord>10%—30%</modifiedWord>
      <trackRevisions>false</trackRevisions>
    </reviewItem>
    <reviewItem>
      <errorID>28357370-0040-4393-a8a8-3a87870890e9</errorID>
      <errorWord>-</errorWord>
      <group>L1_Format</group>
      <groupName>格式问题</groupName>
      <ability>L2_HalfPunc_CN</ability>
      <abilityName>全半角问题</abilityName>
      <candidateList>
        <item>－</item>
      </candidateList>
      <explain>文本全半角错误。</explain>
      <paraID>66A093C2</paraID>
      <start>332</start>
      <end>333</end>
      <status>modified</status>
      <modifiedWord>－</modifiedWord>
      <trackRevisions>false</trackRevisions>
    </reviewItem>
    <reviewItem>
      <errorID>98c0f557-7e87-437a-a4fe-01c5fc541af8</errorID>
      <errorWord>-</errorWord>
      <group>L1_Format</group>
      <groupName>格式问题</groupName>
      <ability>L2_HalfPunc_CN</ability>
      <abilityName>全半角问题</abilityName>
      <candidateList>
        <item>－</item>
      </candidateList>
      <explain>文本全半角错误。</explain>
      <paraID>66A093C2</paraID>
      <start>462</start>
      <end>463</end>
      <status>modified</status>
      <modifiedWord>－</modifiedWord>
      <trackRevisions>false</trackRevisions>
    </reviewItem>
    <reviewItem>
      <errorID>f6f0c78f-15cf-4204-83c8-6f389d9b57a0</errorID>
      <errorWord>-</errorWord>
      <group>L1_Format</group>
      <groupName>格式问题</groupName>
      <ability>L2_HalfPunc_CN</ability>
      <abilityName>全半角问题</abilityName>
      <candidateList>
        <item>－</item>
      </candidateList>
      <explain>文本全半角错误。</explain>
      <paraID>66A093C2</paraID>
      <start>465</start>
      <end>466</end>
      <status>modified</status>
      <modifiedWord>－</modifiedWord>
      <trackRevisions>false</trackRevisions>
    </reviewItem>
    <reviewItem>
      <errorID>ef2c6dc0-affb-48b1-b48c-efc3719f3f80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4320C4CF</paraID>
      <start>133</start>
      <end>134</end>
      <status>modified</status>
      <modifiedWord>—</modifiedWord>
      <trackRevisions>false</trackRevisions>
    </reviewItem>
    <reviewItem>
      <errorID>5139cdec-493c-414e-90f6-be62201d9b58</errorID>
      <errorWord>(</errorWord>
      <group>L1_Format</group>
      <groupName>格式问题</groupName>
      <ability>L2_HalfPunc_CN</ability>
      <abilityName>全半角问题</abilityName>
      <candidateList>
        <item>（</item>
      </candidateList>
      <explain>文本全半角错误。</explain>
      <paraID>4320C4CF</paraID>
      <start>172</start>
      <end>173</end>
      <status>modified</status>
      <modifiedWord>（</modifiedWord>
      <trackRevisions>false</trackRevisions>
    </reviewItem>
    <reviewItem>
      <errorID>a50fd78e-7080-4a1a-bef0-ef07664b2201</errorID>
      <errorWord>)</errorWord>
      <group>L1_Format</group>
      <groupName>格式问题</groupName>
      <ability>L2_HalfPunc_CN</ability>
      <abilityName>全半角问题</abilityName>
      <candidateList>
        <item>）</item>
      </candidateList>
      <explain>文本全半角错误。</explain>
      <paraID>4320C4CF</paraID>
      <start>176</start>
      <end>177</end>
      <status>modified</status>
      <modifiedWord>）</modifiedWord>
      <trackRevisions>false</trackRevisions>
    </reviewItem>
    <reviewItem>
      <errorID>9db5be36-59d3-4ad2-b3ee-3f22442f97ac</errorID>
      <errorWord>-</errorWord>
      <group>L1_Format</group>
      <groupName>格式问题</groupName>
      <ability>L2_HalfPunc_CN</ability>
      <abilityName>全半角问题</abilityName>
      <candidateList>
        <item>－</item>
      </candidateList>
      <explain>文本全半角错误。</explain>
      <paraID>3070AA4B</paraID>
      <start>227</start>
      <end>228</end>
      <status>modified</status>
      <modifiedWord>－</modifiedWord>
      <trackRevisions>false</trackRevisions>
    </reviewItem>
    <reviewItem>
      <errorID>b24fdf14-bb8b-4849-a638-8ba64b04460c</errorID>
      <errorWord>-</errorWord>
      <group>L1_Format</group>
      <groupName>格式问题</groupName>
      <ability>L2_HalfPunc_CN</ability>
      <abilityName>全半角问题</abilityName>
      <candidateList>
        <item>－</item>
      </candidateList>
      <explain>文本全半角错误。</explain>
      <paraID>3070AA4B</paraID>
      <start>352</start>
      <end>353</end>
      <status>modified</status>
      <modifiedWord>－</modifiedWord>
      <trackRevisions>false</trackRevisions>
    </reviewItem>
    <reviewItem>
      <errorID>07f0aaa4-407f-42dd-bfeb-7e2eebf26394</errorID>
      <errorWord>受</errorWord>
      <group>L1_Word</group>
      <groupName>字词问题</groupName>
      <ability>L2_Typo</ability>
      <abilityName>字词错误</abilityName>
      <candidateList>
        <item>受到</item>
      </candidateList>
      <explain/>
      <paraID>3070AA4B</paraID>
      <start>403</start>
      <end>404</end>
      <status>ignored</status>
      <modifiedWord/>
      <trackRevisions>false</trackRevisions>
    </reviewItem>
    <reviewItem>
      <errorID>d8714961-dafb-47ca-946d-5d044db516ab</errorID>
      <errorWord>矿区生态修复</errorWord>
      <group>L1_Political</group>
      <groupName>政治性问题</groupName>
      <ability>L2_Keyword</ability>
      <abilityName>固定表述</abilityName>
      <candidateList>
        <item>矿山生态修复</item>
      </candidateList>
      <explain>词汇“矿山生态修复”在特定场景下为固定表述形式，请确认此处的“矿区生态修复”是否存在不当。</explain>
      <paraID>60CB6CCC</paraID>
      <start>2</start>
      <end>8</end>
      <status>ignored</status>
      <modifiedWord/>
      <trackRevisions>false</trackRevisions>
    </reviewItem>
    <reviewItem>
      <errorID>2abb4b87-b47c-4587-8248-b4750558a426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C03A62E</paraID>
      <start>31</start>
      <end>32</end>
      <status>modified</status>
      <modifiedWord>—</modifiedWord>
      <trackRevisions>false</trackRevisions>
    </reviewItem>
    <reviewItem>
      <errorID>4b75a022-a4b8-4169-bcb3-41bed31974f5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C03A62E</paraID>
      <start>55</start>
      <end>56</end>
      <status>modified</status>
      <modifiedWord>—</modifiedWord>
      <trackRevisions>false</trackRevisions>
    </reviewItem>
    <reviewItem>
      <errorID>b27d7da0-5757-4961-8d0b-ec1290620b9f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C03A62E</paraID>
      <start>79</start>
      <end>80</end>
      <status>modified</status>
      <modifiedWord>—</modifiedWord>
      <trackRevisions>false</trackRevisions>
    </reviewItem>
    <reviewItem>
      <errorID>cbf0a7e6-fb94-4013-b286-f0143bedfc22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4B260856</paraID>
      <start>0</start>
      <end>2</end>
      <status>ignored</status>
      <modifiedWord/>
      <trackRevisions>false</trackRevisions>
    </reviewItem>
    <reviewItem>
      <errorID>7ff08fd0-982c-4bb0-9a0e-7cd45b1828ac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4B260856</paraID>
      <start>15</start>
      <end>16</end>
      <status>modified</status>
      <modifiedWord>—</modifiedWord>
      <trackRevisions>false</trackRevisions>
    </reviewItem>
    <reviewItem>
      <errorID>4f563165-c9e7-4b65-bd1a-ac4c9bd8a17a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2370E133</paraID>
      <start>12</start>
      <end>13</end>
      <status>modified</status>
      <modifiedWord>—</modifiedWord>
      <trackRevisions>false</trackRevisions>
    </reviewItem>
    <reviewItem>
      <errorID>da015d97-1c69-4d3f-bb73-7b41c384e73b</errorID>
      <errorWord>)</errorWord>
      <group>L1_Format</group>
      <groupName>格式问题</groupName>
      <ability>L2_HalfPunc_CN</ability>
      <abilityName>全半角问题</abilityName>
      <candidateList>
        <item>）</item>
      </candidateList>
      <explain>文本全半角错误。</explain>
      <paraID>36CB293D</paraID>
      <start>32</start>
      <end>33</end>
      <status>modified</status>
      <modifiedWord>）</modifiedWord>
      <trackRevisions>false</trackRevisions>
    </reviewItem>
    <reviewItem>
      <errorID>5723089c-7722-4caa-80f6-6cc8ef7e026c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36CB293D</paraID>
      <start>68</start>
      <end>69</end>
      <status>modified</status>
      <modifiedWord>—</modifiedWord>
      <trackRevisions>false</trackRevisions>
    </reviewItem>
    <reviewItem>
      <errorID>6ab76671-a38c-4765-b240-b7ac033750b1</errorID>
      <errorWord>包括了</errorWord>
      <group>L1_Word</group>
      <groupName>字词问题</groupName>
      <ability>L2_Typo</ability>
      <abilityName>字词错误</abilityName>
      <candidateList>
        <item>包括</item>
      </candidateList>
      <explain/>
      <paraID>4042A679</paraID>
      <start>48</start>
      <end>51</end>
      <status>ignored</status>
      <modifiedWord/>
      <trackRevisions>false</trackRevisions>
    </reviewItem>
    <reviewItem>
      <errorID>dd36f418-80bc-4e74-b675-d0e7ce608dee</errorID>
      <errorWord>矿区生态修复</errorWord>
      <group>L1_Political</group>
      <groupName>政治性问题</groupName>
      <ability>L2_Keyword</ability>
      <abilityName>固定表述</abilityName>
      <candidateList>
        <item>矿山生态修复</item>
      </candidateList>
      <explain>词汇“矿山生态修复”在特定场景下为固定表述形式，请确认此处的“矿区生态修复”是否存在不当。</explain>
      <paraID>73C5DA38</paraID>
      <start>121</start>
      <end>127</end>
      <status>ignored</status>
      <modifiedWord/>
      <trackRevisions>false</trackRevisions>
    </reviewItem>
    <reviewItem>
      <errorID>a4259933-0cd9-47aa-b919-8d0e9b075568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56A37B6C</paraID>
      <start>0</start>
      <end>2</end>
      <status>ignored</status>
      <modifiedWord/>
      <trackRevisions>false</trackRevisions>
    </reviewItem>
    <reviewItem>
      <errorID>75e8f32d-ef6f-4c22-b910-cf7af4d5b566</errorID>
      <errorWord>勘查</errorWord>
      <group>L1_Word</group>
      <groupName>字词问题</groupName>
      <ability>L2_Typo</ability>
      <abilityName>字词错误</abilityName>
      <candidateList>
        <item>勘察</item>
      </candidateList>
      <explain>存在发音相同字词的误用。</explain>
      <paraID>56A37B6C</paraID>
      <start>37</start>
      <end>39</end>
      <status>ignored</status>
      <modifiedWord/>
      <trackRevisions>false</trackRevisions>
    </reviewItem>
    <reviewItem>
      <errorID>b47d898f-49c8-4572-a50e-3eba5859c073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50FD95C8</paraID>
      <start>0</start>
      <end>2</end>
      <status>ignored</status>
      <modifiedWord/>
      <trackRevisions>false</trackRevisions>
    </reviewItem>
    <reviewItem>
      <errorID>53829618-d8b8-4ef0-9c80-927627d6824d</errorID>
      <errorWord>勘查</errorWord>
      <group>L1_Word</group>
      <groupName>字词问题</groupName>
      <ability>L2_Typo</ability>
      <abilityName>字词错误</abilityName>
      <candidateList>
        <item>勘察</item>
      </candidateList>
      <explain>存在发音相同字词的误用。</explain>
      <paraID>50FD95C8</paraID>
      <start>133</start>
      <end>135</end>
      <status>ignored</status>
      <modifiedWord/>
      <trackRevisions>false</trackRevisions>
    </reviewItem>
    <reviewItem>
      <errorID>4a21f76d-e05d-477e-a693-382b81059883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2D0DDFB9</paraID>
      <start>0</start>
      <end>2</end>
      <status>ignored</status>
      <modifiedWord/>
      <trackRevisions>false</trackRevisions>
    </reviewItem>
    <reviewItem>
      <errorID>5fdfa0ba-4e2d-4620-9646-2e1172df28eb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B6AEAEC</paraID>
      <start>0</start>
      <end>2</end>
      <status>ignored</status>
      <modifiedWord/>
      <trackRevisions>false</trackRevisions>
    </reviewItem>
    <reviewItem>
      <errorID>561ce2cf-d139-4359-b807-3d8ad5f37497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5A9E8AC3</paraID>
      <start>0</start>
      <end>2</end>
      <status>ignored</status>
      <modifiedWord/>
      <trackRevisions>false</trackRevisions>
    </reviewItem>
    <reviewItem>
      <errorID>49d8ed8d-177b-4483-ad7f-34f112f18c1b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25604C7D</paraID>
      <start>0</start>
      <end>2</end>
      <status>ignored</status>
      <modifiedWord/>
      <trackRevisions>false</trackRevisions>
    </reviewItem>
    <reviewItem>
      <errorID>dd5fce9f-72fc-4f23-ad80-805aec7e088f</errorID>
      <errorWord>矿区生态修复</errorWord>
      <group>L1_Political</group>
      <groupName>政治性问题</groupName>
      <ability>L2_Keyword</ability>
      <abilityName>固定表述</abilityName>
      <candidateList>
        <item>矿山生态修复</item>
      </candidateList>
      <explain>词汇“矿山生态修复”在特定场景下为固定表述形式，请确认此处的“矿区生态修复”是否存在不当。</explain>
      <paraID>25604C7D</paraID>
      <start>6</start>
      <end>12</end>
      <status>ignored</status>
      <modifiedWord/>
      <trackRevisions>false</trackRevisions>
    </reviewItem>
    <reviewItem>
      <errorID>3d66ff44-1bf8-4501-a685-9da3a5b3b19d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610BC88A</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939de6db-99bb-4c16-aab1-222820674500}">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13</Pages>
  <Words>2655</Words>
  <Characters>3010</Characters>
  <Lines>127</Lines>
  <Paragraphs>35</Paragraphs>
  <TotalTime>8</TotalTime>
  <ScaleCrop>false</ScaleCrop>
  <LinksUpToDate>false</LinksUpToDate>
  <CharactersWithSpaces>3042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2026-10-10T06:37:00Z</dcterms:created>
  <dc:creator>杨永芳・~</dc:creator>
  <cp:lastModifiedBy>Zhou＂</cp:lastModifiedBy>
  <cp:lastPrinted>2026-10-12T06:24:00Z</cp:lastPrinted>
  <dcterms:modified xsi:type="dcterms:W3CDTF">2026-10-29T06:53:27Z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50AA93D70F704C83B3D809E9A71E3244_13</vt:lpwstr>
  </property>
  <property fmtid="{D5CDD505-2E9C-101B-9397-08002B2CF9AE}" pid="4" name="KSOTemplateDocerSaveRecord">
    <vt:lpwstr>eyJoZGlkIjoiNmVkY2Y0ZDcyYTdlOGYyOTBiZTA0ZGE3YWVkNmVjYzYiLCJ1c2VySWQiOiI0NTUyOTM1NDgifQ==</vt:lpwstr>
  </property>
</Properties>
</file>