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1E6051">
      <w:pPr>
        <w:bidi w:val="0"/>
        <w:jc w:val="both"/>
        <w:rPr>
          <w:rFonts w:hint="eastAsia" w:asciiTheme="minorEastAsia" w:hAnsiTheme="minorEastAsia" w:eastAsiaTheme="minorEastAsia" w:cstheme="minorEastAsia"/>
          <w:sz w:val="44"/>
          <w:szCs w:val="44"/>
          <w:lang w:val="en-US" w:eastAsia="zh-CN"/>
        </w:rPr>
      </w:pPr>
    </w:p>
    <w:p w14:paraId="77755D51">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简体" w:hAnsi="方正小标宋简体" w:eastAsia="方正小标宋简体" w:cs="方正小标宋简体"/>
          <w:color w:val="auto"/>
          <w:spacing w:val="-11"/>
          <w:sz w:val="44"/>
          <w:szCs w:val="44"/>
          <w:lang w:val="en-US" w:eastAsia="zh-CN"/>
        </w:rPr>
      </w:pPr>
      <w:r>
        <w:rPr>
          <w:rFonts w:hint="eastAsia" w:ascii="方正小标宋简体" w:hAnsi="方正小标宋简体" w:eastAsia="方正小标宋简体" w:cs="方正小标宋简体"/>
          <w:color w:val="auto"/>
          <w:spacing w:val="-11"/>
          <w:sz w:val="44"/>
          <w:szCs w:val="44"/>
          <w:lang w:val="en-US" w:eastAsia="zh-CN"/>
        </w:rPr>
        <w:t>云南省禄劝县烟草专卖局关于印发《云南省禄劝</w:t>
      </w:r>
    </w:p>
    <w:p w14:paraId="48548CCC">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简体" w:hAnsi="方正小标宋简体" w:eastAsia="方正小标宋简体" w:cs="方正小标宋简体"/>
          <w:color w:val="auto"/>
          <w:spacing w:val="-11"/>
          <w:sz w:val="44"/>
          <w:szCs w:val="44"/>
          <w:lang w:val="en-US" w:eastAsia="zh-CN"/>
        </w:rPr>
      </w:pPr>
      <w:r>
        <w:rPr>
          <w:rFonts w:hint="eastAsia" w:ascii="方正小标宋简体" w:hAnsi="方正小标宋简体" w:eastAsia="方正小标宋简体" w:cs="方正小标宋简体"/>
          <w:color w:val="auto"/>
          <w:spacing w:val="-11"/>
          <w:sz w:val="44"/>
          <w:szCs w:val="44"/>
          <w:lang w:val="en-US" w:eastAsia="zh-CN"/>
        </w:rPr>
        <w:t>县烟草制品零售点合理布局规划》的通知</w:t>
      </w:r>
    </w:p>
    <w:p w14:paraId="2DD41004">
      <w:pPr>
        <w:keepNext w:val="0"/>
        <w:keepLines w:val="0"/>
        <w:pageBreakBefore w:val="0"/>
        <w:widowControl w:val="0"/>
        <w:kinsoku/>
        <w:wordWrap/>
        <w:overflowPunct/>
        <w:topLinePunct w:val="0"/>
        <w:autoSpaceDE/>
        <w:autoSpaceDN/>
        <w:bidi w:val="0"/>
        <w:adjustRightInd/>
        <w:snapToGrid/>
        <w:jc w:val="center"/>
        <w:textAlignment w:val="auto"/>
        <w:rPr>
          <w:rFonts w:hint="eastAsia" w:ascii="楷体_GB2312" w:hAnsi="楷体_GB2312" w:eastAsia="楷体_GB2312" w:cs="楷体_GB2312"/>
          <w:i w:val="0"/>
          <w:caps w:val="0"/>
          <w:color w:val="auto"/>
          <w:spacing w:val="0"/>
          <w:sz w:val="32"/>
          <w:szCs w:val="32"/>
          <w:shd w:val="clear" w:fill="FFFFFF"/>
          <w:lang w:val="en-US" w:eastAsia="zh-CN"/>
        </w:rPr>
      </w:pPr>
      <w:r>
        <w:rPr>
          <w:rFonts w:hint="eastAsia" w:ascii="楷体_GB2312" w:hAnsi="楷体_GB2312" w:eastAsia="楷体_GB2312" w:cs="楷体_GB2312"/>
          <w:i w:val="0"/>
          <w:caps w:val="0"/>
          <w:color w:val="auto"/>
          <w:spacing w:val="0"/>
          <w:sz w:val="32"/>
          <w:szCs w:val="32"/>
          <w:shd w:val="clear" w:fill="FFFFFF"/>
          <w:lang w:val="en-US" w:eastAsia="zh-CN"/>
        </w:rPr>
        <w:t>禄烟局规〔</w:t>
      </w:r>
      <w:r>
        <w:rPr>
          <w:rFonts w:hint="eastAsia" w:ascii="Times New Roman" w:hAnsi="Times New Roman" w:eastAsia="楷体_GB2312" w:cs="楷体_GB2312"/>
          <w:i w:val="0"/>
          <w:caps w:val="0"/>
          <w:color w:val="auto"/>
          <w:spacing w:val="0"/>
          <w:sz w:val="32"/>
          <w:szCs w:val="32"/>
          <w:shd w:val="clear" w:fill="FFFFFF"/>
          <w:lang w:val="en-US" w:eastAsia="zh-CN"/>
        </w:rPr>
        <w:t>2026</w:t>
      </w:r>
      <w:r>
        <w:rPr>
          <w:rFonts w:hint="eastAsia" w:ascii="楷体_GB2312" w:hAnsi="楷体_GB2312" w:eastAsia="楷体_GB2312" w:cs="楷体_GB2312"/>
          <w:i w:val="0"/>
          <w:caps w:val="0"/>
          <w:color w:val="auto"/>
          <w:spacing w:val="0"/>
          <w:sz w:val="32"/>
          <w:szCs w:val="32"/>
          <w:shd w:val="clear" w:fill="FFFFFF"/>
          <w:lang w:val="en-US" w:eastAsia="zh-CN"/>
        </w:rPr>
        <w:t>〕</w:t>
      </w:r>
      <w:r>
        <w:rPr>
          <w:rFonts w:hint="eastAsia" w:ascii="Times New Roman" w:hAnsi="Times New Roman" w:eastAsia="楷体_GB2312" w:cs="楷体_GB2312"/>
          <w:i w:val="0"/>
          <w:caps w:val="0"/>
          <w:color w:val="auto"/>
          <w:spacing w:val="0"/>
          <w:sz w:val="32"/>
          <w:szCs w:val="32"/>
          <w:shd w:val="clear" w:fill="FFFFFF"/>
          <w:lang w:val="en-US" w:eastAsia="zh-CN"/>
        </w:rPr>
        <w:t>1</w:t>
      </w:r>
      <w:r>
        <w:rPr>
          <w:rFonts w:hint="eastAsia" w:ascii="楷体_GB2312" w:hAnsi="楷体_GB2312" w:eastAsia="楷体_GB2312" w:cs="楷体_GB2312"/>
          <w:i w:val="0"/>
          <w:caps w:val="0"/>
          <w:color w:val="auto"/>
          <w:spacing w:val="0"/>
          <w:sz w:val="32"/>
          <w:szCs w:val="32"/>
          <w:shd w:val="clear" w:fill="FFFFFF"/>
          <w:lang w:val="en-US" w:eastAsia="zh-CN"/>
        </w:rPr>
        <w:t>号</w:t>
      </w:r>
    </w:p>
    <w:p w14:paraId="22558AC4">
      <w:pPr>
        <w:keepNext w:val="0"/>
        <w:keepLines w:val="0"/>
        <w:pageBreakBefore w:val="0"/>
        <w:widowControl w:val="0"/>
        <w:kinsoku/>
        <w:wordWrap/>
        <w:overflowPunct/>
        <w:topLinePunct w:val="0"/>
        <w:autoSpaceDE/>
        <w:autoSpaceDN/>
        <w:bidi w:val="0"/>
        <w:adjustRightInd/>
        <w:snapToGrid/>
        <w:jc w:val="center"/>
        <w:textAlignment w:val="auto"/>
        <w:rPr>
          <w:rFonts w:hint="eastAsia" w:ascii="楷体_GB2312" w:hAnsi="楷体_GB2312" w:eastAsia="楷体_GB2312" w:cs="楷体_GB2312"/>
          <w:i w:val="0"/>
          <w:caps w:val="0"/>
          <w:color w:val="333333"/>
          <w:spacing w:val="0"/>
          <w:sz w:val="32"/>
          <w:szCs w:val="32"/>
          <w:shd w:val="clear" w:fill="FFFFFF"/>
          <w:lang w:val="en-US" w:eastAsia="zh-CN"/>
        </w:rPr>
      </w:pPr>
    </w:p>
    <w:p w14:paraId="6A1604E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楷体_GB2312" w:cs="楷体_GB2312"/>
          <w:color w:val="000000"/>
          <w:kern w:val="0"/>
          <w:sz w:val="32"/>
          <w:szCs w:val="32"/>
        </w:rPr>
      </w:pPr>
      <w:r>
        <w:rPr>
          <w:rFonts w:hint="eastAsia" w:ascii="Times New Roman" w:hAnsi="Times New Roman" w:eastAsia="楷体_GB2312" w:cs="楷体_GB2312"/>
          <w:color w:val="000000"/>
          <w:kern w:val="0"/>
          <w:sz w:val="32"/>
          <w:szCs w:val="32"/>
        </w:rPr>
        <w:t>为切实加强辖区烟草专卖零售许可证管理，合理配置市场资源，建立良好的烟草制品零售市场秩序，现将《云南省昆明市禄劝彝族苗族自治县烟草制品零售点合理布局规划》印发给你们，请认真贯彻执行。</w:t>
      </w:r>
    </w:p>
    <w:p w14:paraId="5CCA926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楷体_GB2312" w:cs="楷体_GB2312"/>
          <w:color w:val="auto"/>
          <w:spacing w:val="0"/>
          <w:sz w:val="32"/>
          <w:szCs w:val="32"/>
          <w:lang w:val="en-US" w:eastAsia="zh-CN"/>
        </w:rPr>
      </w:pPr>
      <w:r>
        <w:rPr>
          <w:rFonts w:hint="eastAsia" w:ascii="Times New Roman" w:hAnsi="Times New Roman" w:eastAsia="楷体_GB2312" w:cs="楷体_GB2312"/>
          <w:color w:val="000000"/>
          <w:kern w:val="0"/>
          <w:sz w:val="32"/>
          <w:szCs w:val="32"/>
        </w:rPr>
        <w:t>本规划自发布之日起，公示</w:t>
      </w:r>
      <w:r>
        <w:rPr>
          <w:rFonts w:hint="eastAsia" w:ascii="Times New Roman" w:hAnsi="Times New Roman" w:eastAsia="楷体_GB2312" w:cs="楷体_GB2312"/>
          <w:color w:val="000000"/>
          <w:kern w:val="0"/>
          <w:sz w:val="32"/>
          <w:szCs w:val="32"/>
        </w:rPr>
        <w:t>30</w:t>
      </w:r>
      <w:r>
        <w:rPr>
          <w:rFonts w:hint="eastAsia" w:ascii="Times New Roman" w:hAnsi="Times New Roman" w:eastAsia="楷体_GB2312" w:cs="楷体_GB2312"/>
          <w:color w:val="000000"/>
          <w:kern w:val="0"/>
          <w:sz w:val="32"/>
          <w:szCs w:val="32"/>
        </w:rPr>
        <w:t>日后施行。原《昆明市禄劝县烟草专卖局关于印发〈云南省昆明市禄劝彝族苗族自治县烟草制品零售点合理布局规划〉的通知》（禄烟局〔</w:t>
      </w:r>
      <w:r>
        <w:rPr>
          <w:rFonts w:hint="eastAsia" w:ascii="Times New Roman" w:hAnsi="Times New Roman" w:eastAsia="楷体_GB2312" w:cs="楷体_GB2312"/>
          <w:color w:val="000000"/>
          <w:kern w:val="0"/>
          <w:sz w:val="32"/>
          <w:szCs w:val="32"/>
        </w:rPr>
        <w:t>2025</w:t>
      </w:r>
      <w:r>
        <w:rPr>
          <w:rFonts w:hint="eastAsia" w:ascii="Times New Roman" w:hAnsi="Times New Roman" w:eastAsia="楷体_GB2312" w:cs="楷体_GB2312"/>
          <w:color w:val="000000"/>
          <w:kern w:val="0"/>
          <w:sz w:val="32"/>
          <w:szCs w:val="32"/>
        </w:rPr>
        <w:t>〕</w:t>
      </w:r>
      <w:r>
        <w:rPr>
          <w:rFonts w:hint="eastAsia" w:ascii="Times New Roman" w:hAnsi="Times New Roman" w:eastAsia="楷体_GB2312" w:cs="楷体_GB2312"/>
          <w:color w:val="000000"/>
          <w:kern w:val="0"/>
          <w:sz w:val="32"/>
          <w:szCs w:val="32"/>
        </w:rPr>
        <w:t>9</w:t>
      </w:r>
      <w:r>
        <w:rPr>
          <w:rFonts w:hint="eastAsia" w:ascii="Times New Roman" w:hAnsi="Times New Roman" w:eastAsia="楷体_GB2312" w:cs="楷体_GB2312"/>
          <w:color w:val="000000"/>
          <w:kern w:val="0"/>
          <w:sz w:val="32"/>
          <w:szCs w:val="32"/>
        </w:rPr>
        <w:t>号）同时废止。</w:t>
      </w:r>
    </w:p>
    <w:p w14:paraId="29EE3CF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楷体_GB2312" w:cs="楷体_GB2312"/>
          <w:color w:val="auto"/>
          <w:spacing w:val="0"/>
          <w:sz w:val="32"/>
          <w:szCs w:val="32"/>
          <w:lang w:val="en-US" w:eastAsia="zh-CN"/>
        </w:rPr>
      </w:pPr>
    </w:p>
    <w:p w14:paraId="38D4FD0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楷体_GB2312" w:cs="楷体_GB2312"/>
          <w:color w:val="auto"/>
          <w:spacing w:val="0"/>
          <w:sz w:val="32"/>
          <w:szCs w:val="32"/>
          <w:lang w:val="en-US" w:eastAsia="zh-CN"/>
        </w:rPr>
      </w:pPr>
    </w:p>
    <w:p w14:paraId="006C53D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楷体_GB2312" w:cs="楷体_GB2312"/>
          <w:color w:val="auto"/>
          <w:spacing w:val="0"/>
          <w:sz w:val="32"/>
          <w:szCs w:val="32"/>
        </w:rPr>
      </w:pPr>
      <w:r>
        <w:rPr>
          <w:rFonts w:hint="eastAsia" w:ascii="Times New Roman" w:hAnsi="Times New Roman" w:eastAsia="楷体_GB2312" w:cs="楷体_GB2312"/>
          <w:color w:val="auto"/>
          <w:spacing w:val="0"/>
          <w:sz w:val="32"/>
          <w:szCs w:val="32"/>
          <w:lang w:val="en-US" w:eastAsia="zh-CN"/>
        </w:rPr>
        <w:t xml:space="preserve">                             </w:t>
      </w:r>
      <w:r>
        <w:rPr>
          <w:rFonts w:hint="eastAsia" w:ascii="Times New Roman" w:hAnsi="Times New Roman" w:eastAsia="楷体_GB2312" w:cs="楷体_GB2312"/>
          <w:color w:val="auto"/>
          <w:spacing w:val="0"/>
          <w:sz w:val="32"/>
          <w:szCs w:val="32"/>
          <w:lang w:eastAsia="zh-CN"/>
        </w:rPr>
        <w:t>云南省禄劝县烟草专卖局</w:t>
      </w:r>
    </w:p>
    <w:p w14:paraId="6B915D4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楷体_GB2312" w:cs="楷体_GB2312"/>
          <w:color w:val="auto"/>
          <w:spacing w:val="0"/>
          <w:sz w:val="32"/>
          <w:szCs w:val="32"/>
        </w:rPr>
      </w:pPr>
      <w:r>
        <w:rPr>
          <w:rFonts w:hint="eastAsia" w:ascii="Times New Roman" w:hAnsi="Times New Roman" w:eastAsia="楷体_GB2312" w:cs="楷体_GB2312"/>
          <w:color w:val="auto"/>
          <w:spacing w:val="0"/>
          <w:sz w:val="32"/>
          <w:szCs w:val="32"/>
          <w:lang w:val="en-US" w:eastAsia="zh-CN"/>
        </w:rPr>
        <w:t xml:space="preserve">                             </w:t>
      </w:r>
      <w:r>
        <w:rPr>
          <w:rFonts w:hint="default" w:ascii="Times New Roman" w:hAnsi="Times New Roman" w:eastAsia="楷体_GB2312" w:cs="Times New Roman"/>
          <w:color w:val="auto"/>
          <w:spacing w:val="0"/>
          <w:sz w:val="32"/>
          <w:szCs w:val="32"/>
          <w:lang w:val="en-US" w:eastAsia="zh-CN"/>
        </w:rPr>
        <w:t xml:space="preserve"> </w:t>
      </w:r>
      <w:r>
        <w:rPr>
          <w:rFonts w:hint="eastAsia" w:ascii="Times New Roman" w:hAnsi="Times New Roman" w:eastAsia="楷体_GB2312" w:cs="Times New Roman"/>
          <w:color w:val="auto"/>
          <w:spacing w:val="0"/>
          <w:sz w:val="32"/>
          <w:szCs w:val="32"/>
          <w:lang w:val="en-US" w:eastAsia="zh-CN"/>
        </w:rPr>
        <w:t xml:space="preserve"> </w:t>
      </w:r>
      <w:r>
        <w:rPr>
          <w:rFonts w:hint="default" w:ascii="Times New Roman" w:hAnsi="Times New Roman" w:eastAsia="楷体_GB2312" w:cs="Times New Roman"/>
          <w:color w:val="auto"/>
          <w:spacing w:val="0"/>
          <w:sz w:val="32"/>
          <w:szCs w:val="32"/>
          <w:lang w:val="en-US" w:eastAsia="zh-CN"/>
        </w:rPr>
        <w:t>202</w:t>
      </w:r>
      <w:r>
        <w:rPr>
          <w:rFonts w:hint="eastAsia" w:ascii="Times New Roman" w:hAnsi="Times New Roman" w:eastAsia="楷体_GB2312" w:cs="Times New Roman"/>
          <w:color w:val="auto"/>
          <w:spacing w:val="0"/>
          <w:sz w:val="32"/>
          <w:szCs w:val="32"/>
          <w:lang w:val="en-US" w:eastAsia="zh-CN"/>
        </w:rPr>
        <w:t>6</w:t>
      </w:r>
      <w:r>
        <w:rPr>
          <w:rFonts w:hint="eastAsia" w:ascii="Times New Roman" w:hAnsi="Times New Roman" w:eastAsia="楷体_GB2312" w:cs="楷体_GB2312"/>
          <w:color w:val="auto"/>
          <w:spacing w:val="0"/>
          <w:sz w:val="32"/>
          <w:szCs w:val="32"/>
        </w:rPr>
        <w:t>年</w:t>
      </w:r>
      <w:r>
        <w:rPr>
          <w:rFonts w:hint="eastAsia" w:ascii="Times New Roman" w:hAnsi="Times New Roman" w:eastAsia="楷体_GB2312" w:cs="楷体_GB2312"/>
          <w:color w:val="auto"/>
          <w:spacing w:val="0"/>
          <w:sz w:val="32"/>
          <w:szCs w:val="32"/>
          <w:lang w:val="en-US" w:eastAsia="zh-CN"/>
        </w:rPr>
        <w:t>10</w:t>
      </w:r>
      <w:r>
        <w:rPr>
          <w:rFonts w:hint="eastAsia" w:ascii="Times New Roman" w:hAnsi="Times New Roman" w:eastAsia="楷体_GB2312" w:cs="楷体_GB2312"/>
          <w:color w:val="auto"/>
          <w:spacing w:val="0"/>
          <w:sz w:val="32"/>
          <w:szCs w:val="32"/>
        </w:rPr>
        <w:t>月</w:t>
      </w:r>
      <w:r>
        <w:rPr>
          <w:rFonts w:hint="eastAsia" w:ascii="Times New Roman" w:hAnsi="Times New Roman" w:eastAsia="楷体_GB2312" w:cs="楷体_GB2312"/>
          <w:color w:val="auto"/>
          <w:spacing w:val="0"/>
          <w:sz w:val="32"/>
          <w:szCs w:val="32"/>
          <w:lang w:val="en-US" w:eastAsia="zh-CN"/>
        </w:rPr>
        <w:t>13</w:t>
      </w:r>
      <w:r>
        <w:rPr>
          <w:rFonts w:hint="eastAsia" w:ascii="Times New Roman" w:hAnsi="Times New Roman" w:eastAsia="楷体_GB2312" w:cs="楷体_GB2312"/>
          <w:color w:val="auto"/>
          <w:spacing w:val="0"/>
          <w:sz w:val="32"/>
          <w:szCs w:val="32"/>
        </w:rPr>
        <w:t>日</w:t>
      </w:r>
    </w:p>
    <w:p w14:paraId="2D8988E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楷体_GB2312" w:cs="楷体_GB2312"/>
          <w:kern w:val="0"/>
          <w:sz w:val="32"/>
          <w:szCs w:val="32"/>
          <w:lang w:eastAsia="zh-CN"/>
        </w:rPr>
      </w:pPr>
    </w:p>
    <w:p w14:paraId="291FF4E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楷体_GB2312" w:cs="楷体_GB2312"/>
          <w:kern w:val="0"/>
          <w:sz w:val="32"/>
          <w:szCs w:val="32"/>
          <w:lang w:eastAsia="zh-CN"/>
        </w:rPr>
      </w:pPr>
    </w:p>
    <w:p w14:paraId="2728C75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p w14:paraId="4FBD7FA0">
      <w:pPr>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br w:type="page"/>
      </w:r>
    </w:p>
    <w:p w14:paraId="159ACE33">
      <w:pPr>
        <w:pStyle w:val="2"/>
        <w:keepNext w:val="0"/>
        <w:keepLines w:val="0"/>
        <w:pageBreakBefore w:val="0"/>
        <w:widowControl w:val="0"/>
        <w:kinsoku/>
        <w:wordWrap/>
        <w:overflowPunct/>
        <w:topLinePunct w:val="0"/>
        <w:autoSpaceDE/>
        <w:autoSpaceDN/>
        <w:bidi w:val="0"/>
        <w:adjustRightInd/>
        <w:snapToGrid/>
        <w:spacing w:before="0" w:after="0" w:line="560" w:lineRule="exact"/>
        <w:jc w:val="center"/>
        <w:textAlignment w:val="auto"/>
        <w:rPr>
          <w:rFonts w:hint="eastAsia" w:ascii="方正小标宋简体" w:hAnsi="方正小标宋简体" w:eastAsia="方正小标宋简体" w:cs="方正小标宋简体"/>
          <w:b w:val="0"/>
          <w:bCs w:val="0"/>
          <w:sz w:val="44"/>
          <w:szCs w:val="44"/>
          <w:lang w:eastAsia="zh-CN"/>
        </w:rPr>
      </w:pPr>
    </w:p>
    <w:p w14:paraId="7489E68D">
      <w:pPr>
        <w:keepNext w:val="0"/>
        <w:keepLines w:val="0"/>
        <w:pageBreakBefore w:val="0"/>
        <w:widowControl w:val="0"/>
        <w:kinsoku/>
        <w:wordWrap/>
        <w:overflowPunct/>
        <w:topLinePunct w:val="0"/>
        <w:autoSpaceDE/>
        <w:autoSpaceDN/>
        <w:bidi w:val="0"/>
        <w:adjustRightInd/>
        <w:snapToGrid/>
        <w:spacing w:line="560" w:lineRule="atLeast"/>
        <w:ind w:firstLine="0" w:firstLineChars="0"/>
        <w:jc w:val="center"/>
        <w:textAlignment w:val="auto"/>
        <w:rPr>
          <w:rFonts w:hint="eastAsia" w:ascii="仿宋_GB2312" w:hAnsi="仿宋_GB2312" w:eastAsia="仿宋_GB2312" w:cs="仿宋_GB2312"/>
          <w:sz w:val="32"/>
          <w:szCs w:val="32"/>
          <w:lang w:val="en-US" w:eastAsia="zh-CN"/>
        </w:rPr>
      </w:pPr>
      <w:r>
        <w:rPr>
          <w:rFonts w:hint="eastAsia" w:ascii="方正小标宋简体" w:hAnsi="方正小标宋简体" w:eastAsia="方正小标宋简体" w:cs="方正小标宋简体"/>
          <w:b w:val="0"/>
          <w:bCs w:val="0"/>
          <w:sz w:val="44"/>
          <w:szCs w:val="44"/>
          <w:lang w:eastAsia="zh-CN"/>
        </w:rPr>
        <w:t>云南省禄劝县烟草制品零售点合理布局规划</w:t>
      </w:r>
    </w:p>
    <w:p w14:paraId="5B4A92E6">
      <w:pPr>
        <w:keepNext w:val="0"/>
        <w:keepLines w:val="0"/>
        <w:pageBreakBefore w:val="0"/>
        <w:widowControl w:val="0"/>
        <w:kinsoku/>
        <w:wordWrap/>
        <w:overflowPunct/>
        <w:topLinePunct w:val="0"/>
        <w:autoSpaceDE/>
        <w:autoSpaceDN/>
        <w:bidi w:val="0"/>
        <w:adjustRightInd/>
        <w:snapToGrid/>
        <w:spacing w:line="560" w:lineRule="atLeast"/>
        <w:ind w:firstLine="640" w:firstLineChars="200"/>
        <w:jc w:val="both"/>
        <w:textAlignment w:val="auto"/>
        <w:rPr>
          <w:rFonts w:hint="eastAsia" w:ascii="Times New Roman" w:hAnsi="Times New Roman" w:eastAsia="仿宋_GB2312" w:cs="仿宋_GB2312"/>
          <w:sz w:val="32"/>
          <w:szCs w:val="32"/>
          <w:lang w:val="en-US" w:eastAsia="zh-CN"/>
        </w:rPr>
      </w:pPr>
    </w:p>
    <w:p w14:paraId="36E98BC2">
      <w:pPr>
        <w:pStyle w:val="7"/>
        <w:keepNext w:val="0"/>
        <w:keepLines w:val="0"/>
        <w:pageBreakBefore w:val="0"/>
        <w:kinsoku/>
        <w:wordWrap/>
        <w:overflowPunct/>
        <w:topLinePunct w:val="0"/>
        <w:bidi w:val="0"/>
        <w:snapToGrid w:val="0"/>
        <w:spacing w:before="312" w:beforeLines="100" w:after="312" w:afterLines="100" w:line="560" w:lineRule="exact"/>
        <w:textAlignment w:val="baseline"/>
        <w:rPr>
          <w:rFonts w:ascii="Times New Roman" w:hAnsi="Times New Roman" w:eastAsia="黑体"/>
          <w:sz w:val="32"/>
          <w:szCs w:val="32"/>
        </w:rPr>
      </w:pPr>
      <w:r>
        <w:rPr>
          <w:rFonts w:hint="eastAsia" w:ascii="Times New Roman" w:hAnsi="Times New Roman" w:eastAsia="黑体"/>
          <w:sz w:val="32"/>
          <w:szCs w:val="32"/>
        </w:rPr>
        <w:t>第一章</w:t>
      </w:r>
      <w:r>
        <w:rPr>
          <w:rFonts w:ascii="Times New Roman" w:hAnsi="Times New Roman" w:eastAsia="黑体"/>
          <w:sz w:val="32"/>
          <w:szCs w:val="32"/>
        </w:rPr>
        <w:t xml:space="preserve"> </w:t>
      </w:r>
      <w:r>
        <w:rPr>
          <w:rFonts w:hint="eastAsia" w:ascii="Times New Roman" w:hAnsi="Times New Roman" w:eastAsia="黑体"/>
          <w:sz w:val="32"/>
          <w:szCs w:val="32"/>
        </w:rPr>
        <w:t>总则</w:t>
      </w:r>
    </w:p>
    <w:p w14:paraId="15B47BDF">
      <w:pPr>
        <w:keepNext w:val="0"/>
        <w:keepLines w:val="0"/>
        <w:pageBreakBefore w:val="0"/>
        <w:numPr>
          <w:ilvl w:val="2"/>
          <w:numId w:val="1"/>
        </w:numPr>
        <w:kinsoku/>
        <w:wordWrap/>
        <w:overflowPunct/>
        <w:topLinePunct w:val="0"/>
        <w:bidi w:val="0"/>
        <w:adjustRightInd w:val="0"/>
        <w:snapToGrid w:val="0"/>
        <w:spacing w:line="560" w:lineRule="exact"/>
        <w:ind w:firstLine="640" w:firstLineChars="200"/>
        <w:textAlignment w:val="baseline"/>
        <w:rPr>
          <w:rFonts w:eastAsia="仿宋_GB2312"/>
          <w:sz w:val="32"/>
          <w:szCs w:val="32"/>
        </w:rPr>
      </w:pPr>
      <w:r>
        <w:rPr>
          <w:rFonts w:hint="eastAsia" w:eastAsia="仿宋_GB2312"/>
          <w:sz w:val="32"/>
          <w:szCs w:val="32"/>
        </w:rPr>
        <w:t>为深入推进</w:t>
      </w:r>
      <w:r>
        <w:rPr>
          <w:rFonts w:hint="eastAsia" w:ascii="仿宋_GB2312" w:eastAsia="仿宋_GB2312"/>
          <w:sz w:val="32"/>
          <w:szCs w:val="32"/>
        </w:rPr>
        <w:t>“放管服”</w:t>
      </w:r>
      <w:r>
        <w:rPr>
          <w:rFonts w:hint="eastAsia" w:eastAsia="仿宋_GB2312"/>
          <w:sz w:val="32"/>
          <w:szCs w:val="32"/>
        </w:rPr>
        <w:t>改革，依法依规、科学合理制定烟草制品零售点合理布局规划，提升烟草专卖行政许可的公开性、公平性和公正性，依据《中华人民共和国行政许可法》</w:t>
      </w:r>
      <w:r>
        <w:rPr>
          <w:rFonts w:hint="eastAsia" w:eastAsia="仿宋_GB2312"/>
          <w:bCs/>
          <w:sz w:val="32"/>
          <w:szCs w:val="32"/>
        </w:rPr>
        <w:t>《中华人民共和国未成年人保护法》《中华人民共和国烟草专卖法》</w:t>
      </w:r>
      <w:r>
        <w:rPr>
          <w:rFonts w:hint="eastAsia" w:eastAsia="仿宋_GB2312"/>
          <w:sz w:val="32"/>
          <w:szCs w:val="32"/>
        </w:rPr>
        <w:t>《中华人民共和国烟草专卖法实施条例》《烟草专卖许可证管理办法》《烟草专卖许可证管理办法实施细则》等法律、法规、规章和国家烟草专卖局的有关规定，结合云南省昆明市禄劝县实际，制定本规划。</w:t>
      </w:r>
    </w:p>
    <w:p w14:paraId="118C4426">
      <w:pPr>
        <w:keepNext w:val="0"/>
        <w:keepLines w:val="0"/>
        <w:pageBreakBefore w:val="0"/>
        <w:numPr>
          <w:ilvl w:val="2"/>
          <w:numId w:val="1"/>
        </w:numPr>
        <w:kinsoku/>
        <w:wordWrap/>
        <w:overflowPunct/>
        <w:topLinePunct w:val="0"/>
        <w:bidi w:val="0"/>
        <w:adjustRightInd w:val="0"/>
        <w:snapToGrid w:val="0"/>
        <w:spacing w:line="560" w:lineRule="exact"/>
        <w:ind w:firstLine="640" w:firstLineChars="200"/>
        <w:textAlignment w:val="baseline"/>
        <w:rPr>
          <w:rFonts w:eastAsia="仿宋_GB2312"/>
          <w:sz w:val="32"/>
          <w:szCs w:val="32"/>
        </w:rPr>
      </w:pPr>
      <w:r>
        <w:rPr>
          <w:rFonts w:hint="eastAsia" w:eastAsia="仿宋_GB2312"/>
          <w:sz w:val="32"/>
          <w:szCs w:val="32"/>
        </w:rPr>
        <w:t>本规划适用于昆明市禄劝县行政辖区范围内烟草制品零售点的布局管理。</w:t>
      </w:r>
    </w:p>
    <w:p w14:paraId="623B9926">
      <w:pPr>
        <w:keepNext w:val="0"/>
        <w:keepLines w:val="0"/>
        <w:pageBreakBefore w:val="0"/>
        <w:kinsoku/>
        <w:wordWrap/>
        <w:overflowPunct/>
        <w:topLinePunct w:val="0"/>
        <w:bidi w:val="0"/>
        <w:adjustRightInd w:val="0"/>
        <w:snapToGrid w:val="0"/>
        <w:spacing w:line="560" w:lineRule="exact"/>
        <w:ind w:firstLine="640" w:firstLineChars="200"/>
        <w:textAlignment w:val="baseline"/>
        <w:rPr>
          <w:rFonts w:eastAsia="仿宋_GB2312"/>
          <w:sz w:val="32"/>
          <w:szCs w:val="32"/>
        </w:rPr>
      </w:pPr>
      <w:r>
        <w:rPr>
          <w:rFonts w:hint="eastAsia" w:eastAsia="仿宋_GB2312"/>
          <w:sz w:val="32"/>
          <w:szCs w:val="32"/>
        </w:rPr>
        <w:t>电子烟零售点布局按照《云南省电子烟零售点布局规划》执行。</w:t>
      </w:r>
    </w:p>
    <w:p w14:paraId="3AE4AF64">
      <w:pPr>
        <w:keepNext w:val="0"/>
        <w:keepLines w:val="0"/>
        <w:pageBreakBefore w:val="0"/>
        <w:numPr>
          <w:ilvl w:val="2"/>
          <w:numId w:val="1"/>
        </w:numPr>
        <w:kinsoku/>
        <w:wordWrap/>
        <w:overflowPunct/>
        <w:topLinePunct w:val="0"/>
        <w:bidi w:val="0"/>
        <w:adjustRightInd w:val="0"/>
        <w:snapToGrid w:val="0"/>
        <w:spacing w:line="560" w:lineRule="exact"/>
        <w:ind w:firstLine="640" w:firstLineChars="200"/>
        <w:textAlignment w:val="baseline"/>
        <w:rPr>
          <w:rFonts w:eastAsia="仿宋_GB2312"/>
          <w:sz w:val="32"/>
          <w:szCs w:val="32"/>
        </w:rPr>
      </w:pPr>
      <w:r>
        <w:rPr>
          <w:rFonts w:hint="eastAsia" w:eastAsia="仿宋_GB2312"/>
          <w:sz w:val="32"/>
          <w:szCs w:val="32"/>
        </w:rPr>
        <w:t>本规划所称烟草制品零售点（以下简称零售点）是指依法取得烟草专卖零售许可证（以下简称零售许可证）的公民、法人或其他组织从事烟草制品零售业务的经营场所。</w:t>
      </w:r>
    </w:p>
    <w:p w14:paraId="05664345">
      <w:pPr>
        <w:keepNext w:val="0"/>
        <w:keepLines w:val="0"/>
        <w:pageBreakBefore w:val="0"/>
        <w:kinsoku/>
        <w:wordWrap/>
        <w:overflowPunct/>
        <w:topLinePunct w:val="0"/>
        <w:bidi w:val="0"/>
        <w:adjustRightInd w:val="0"/>
        <w:snapToGrid w:val="0"/>
        <w:spacing w:line="560" w:lineRule="exact"/>
        <w:ind w:firstLine="640" w:firstLineChars="200"/>
        <w:textAlignment w:val="baseline"/>
      </w:pPr>
      <w:r>
        <w:rPr>
          <w:rFonts w:hint="eastAsia" w:eastAsia="仿宋_GB2312"/>
          <w:sz w:val="32"/>
          <w:szCs w:val="32"/>
        </w:rPr>
        <w:t>零售点应当设置于与住所相独立的固定经营场所，经营场所与住所应当在空间上相互独立，在物理特性上应有实体墙相隔离或有明确的区域界线。经营场所应有指向明确并唯一的门牌、地址或者方位表述，且与营业执照登记载明的经营场所一致，并面向公众经营。</w:t>
      </w:r>
    </w:p>
    <w:p w14:paraId="0FB939F2">
      <w:pPr>
        <w:keepNext w:val="0"/>
        <w:keepLines w:val="0"/>
        <w:pageBreakBefore w:val="0"/>
        <w:numPr>
          <w:ilvl w:val="2"/>
          <w:numId w:val="1"/>
        </w:numPr>
        <w:kinsoku/>
        <w:wordWrap/>
        <w:overflowPunct/>
        <w:topLinePunct w:val="0"/>
        <w:bidi w:val="0"/>
        <w:adjustRightInd w:val="0"/>
        <w:snapToGrid w:val="0"/>
        <w:spacing w:line="560" w:lineRule="exact"/>
        <w:ind w:firstLine="640" w:firstLineChars="200"/>
        <w:textAlignment w:val="baseline"/>
        <w:rPr>
          <w:rFonts w:eastAsia="仿宋_GB2312"/>
          <w:sz w:val="32"/>
          <w:szCs w:val="32"/>
        </w:rPr>
      </w:pPr>
      <w:r>
        <w:rPr>
          <w:rFonts w:hint="eastAsia" w:eastAsia="仿宋_GB2312"/>
          <w:sz w:val="32"/>
          <w:szCs w:val="32"/>
        </w:rPr>
        <w:t>本规划遵循依法行政、科学规划、服务社会、分类施策、尊重历史、均衡发展原则，综合辖区内人口数量、交通状况、经济发展水平、消费能力等因素，对零售点进行科学合理的规划布局。</w:t>
      </w:r>
    </w:p>
    <w:p w14:paraId="0272481A">
      <w:pPr>
        <w:keepNext w:val="0"/>
        <w:keepLines w:val="0"/>
        <w:pageBreakBefore w:val="0"/>
        <w:numPr>
          <w:ilvl w:val="2"/>
          <w:numId w:val="1"/>
        </w:numPr>
        <w:kinsoku/>
        <w:wordWrap/>
        <w:overflowPunct/>
        <w:topLinePunct w:val="0"/>
        <w:bidi w:val="0"/>
        <w:adjustRightInd w:val="0"/>
        <w:snapToGrid w:val="0"/>
        <w:spacing w:line="560" w:lineRule="exact"/>
        <w:ind w:firstLine="640" w:firstLineChars="200"/>
        <w:textAlignment w:val="baseline"/>
        <w:rPr>
          <w:rFonts w:eastAsia="仿宋_GB2312"/>
          <w:sz w:val="32"/>
          <w:szCs w:val="32"/>
        </w:rPr>
      </w:pPr>
      <w:r>
        <w:rPr>
          <w:rFonts w:hint="eastAsia" w:eastAsia="仿宋_GB2312"/>
          <w:sz w:val="32"/>
          <w:szCs w:val="32"/>
        </w:rPr>
        <w:t>零售点布局采用数量限制、距离限制、数量限制</w:t>
      </w:r>
      <w:r>
        <w:rPr>
          <w:rFonts w:hint="eastAsia" w:eastAsia="仿宋_GB2312"/>
          <w:bCs/>
          <w:sz w:val="32"/>
          <w:szCs w:val="32"/>
        </w:rPr>
        <w:t>与距离</w:t>
      </w:r>
      <w:r>
        <w:rPr>
          <w:rFonts w:hint="eastAsia" w:eastAsia="仿宋_GB2312"/>
          <w:sz w:val="32"/>
          <w:szCs w:val="32"/>
        </w:rPr>
        <w:t>限制</w:t>
      </w:r>
      <w:r>
        <w:rPr>
          <w:rFonts w:hint="eastAsia" w:eastAsia="仿宋_GB2312"/>
          <w:bCs/>
          <w:sz w:val="32"/>
          <w:szCs w:val="32"/>
        </w:rPr>
        <w:t>相结合、</w:t>
      </w:r>
      <w:r>
        <w:rPr>
          <w:rFonts w:hint="eastAsia" w:eastAsia="仿宋_GB2312"/>
          <w:sz w:val="32"/>
          <w:szCs w:val="32"/>
        </w:rPr>
        <w:t>不予设置烟草制品零售点等布局标准。</w:t>
      </w:r>
    </w:p>
    <w:p w14:paraId="4CBC2ED6">
      <w:pPr>
        <w:pStyle w:val="7"/>
        <w:keepNext w:val="0"/>
        <w:keepLines w:val="0"/>
        <w:pageBreakBefore w:val="0"/>
        <w:kinsoku/>
        <w:wordWrap/>
        <w:overflowPunct/>
        <w:topLinePunct w:val="0"/>
        <w:bidi w:val="0"/>
        <w:snapToGrid w:val="0"/>
        <w:spacing w:before="312" w:beforeLines="100" w:after="312" w:afterLines="100" w:line="560" w:lineRule="exact"/>
        <w:textAlignment w:val="baseline"/>
        <w:rPr>
          <w:rFonts w:ascii="Times New Roman" w:hAnsi="Times New Roman" w:eastAsia="黑体"/>
          <w:sz w:val="32"/>
          <w:szCs w:val="32"/>
        </w:rPr>
      </w:pPr>
      <w:r>
        <w:rPr>
          <w:rFonts w:hint="eastAsia" w:ascii="Times New Roman" w:hAnsi="Times New Roman" w:eastAsia="黑体"/>
          <w:sz w:val="32"/>
          <w:szCs w:val="32"/>
        </w:rPr>
        <w:t>第二章</w:t>
      </w:r>
      <w:r>
        <w:rPr>
          <w:rFonts w:ascii="Times New Roman" w:hAnsi="Times New Roman" w:eastAsia="黑体"/>
          <w:sz w:val="32"/>
          <w:szCs w:val="32"/>
        </w:rPr>
        <w:t xml:space="preserve"> </w:t>
      </w:r>
      <w:r>
        <w:rPr>
          <w:rFonts w:hint="eastAsia" w:ascii="Times New Roman" w:hAnsi="Times New Roman" w:eastAsia="黑体"/>
          <w:sz w:val="32"/>
          <w:szCs w:val="32"/>
        </w:rPr>
        <w:t>零售点布局标准</w:t>
      </w:r>
    </w:p>
    <w:p w14:paraId="6DDF8E1A">
      <w:pPr>
        <w:keepNext w:val="0"/>
        <w:keepLines w:val="0"/>
        <w:pageBreakBefore w:val="0"/>
        <w:numPr>
          <w:ilvl w:val="2"/>
          <w:numId w:val="1"/>
        </w:numPr>
        <w:kinsoku/>
        <w:wordWrap/>
        <w:overflowPunct/>
        <w:topLinePunct w:val="0"/>
        <w:bidi w:val="0"/>
        <w:adjustRightInd w:val="0"/>
        <w:snapToGrid w:val="0"/>
        <w:spacing w:line="560" w:lineRule="exact"/>
        <w:ind w:firstLine="640" w:firstLineChars="200"/>
        <w:textAlignment w:val="baseline"/>
        <w:rPr>
          <w:rFonts w:eastAsia="仿宋_GB2312"/>
          <w:sz w:val="32"/>
          <w:szCs w:val="32"/>
        </w:rPr>
      </w:pPr>
      <w:r>
        <w:rPr>
          <w:rFonts w:hint="eastAsia" w:eastAsia="仿宋_GB2312"/>
          <w:sz w:val="32"/>
          <w:szCs w:val="32"/>
        </w:rPr>
        <w:t>零售点间距是指申请人拟从事烟草制品零售业务的经营场所与最近的烟草制品零售点之间的距离。</w:t>
      </w:r>
    </w:p>
    <w:p w14:paraId="7DBF89FC">
      <w:pPr>
        <w:keepNext w:val="0"/>
        <w:keepLines w:val="0"/>
        <w:pageBreakBefore w:val="0"/>
        <w:kinsoku/>
        <w:wordWrap/>
        <w:overflowPunct/>
        <w:topLinePunct w:val="0"/>
        <w:bidi w:val="0"/>
        <w:adjustRightInd w:val="0"/>
        <w:snapToGrid w:val="0"/>
        <w:spacing w:line="560" w:lineRule="exact"/>
        <w:ind w:firstLine="640" w:firstLineChars="200"/>
        <w:textAlignment w:val="baseline"/>
        <w:rPr>
          <w:rFonts w:eastAsia="仿宋_GB2312"/>
          <w:sz w:val="32"/>
          <w:szCs w:val="32"/>
        </w:rPr>
      </w:pPr>
      <w:r>
        <w:rPr>
          <w:rFonts w:hint="eastAsia" w:eastAsia="仿宋_GB2312"/>
          <w:sz w:val="32"/>
          <w:szCs w:val="32"/>
        </w:rPr>
        <w:t>零售点间距测量的总体原则为两个零售点“门边到门边”可安全步行的最短距离。测量规则及标准详见《云南省昆明市禄劝县烟草制品零售点间距测量规则及标准》（附件</w:t>
      </w:r>
      <w:r>
        <w:rPr>
          <w:rFonts w:ascii="Times New Roman" w:hAnsi="Times New Roman" w:eastAsia="仿宋_GB2312"/>
          <w:sz w:val="32"/>
          <w:szCs w:val="32"/>
        </w:rPr>
        <w:t>1</w:t>
      </w:r>
      <w:r>
        <w:rPr>
          <w:rFonts w:hint="eastAsia" w:eastAsia="仿宋_GB2312"/>
          <w:sz w:val="32"/>
          <w:szCs w:val="32"/>
        </w:rPr>
        <w:t>）。</w:t>
      </w:r>
    </w:p>
    <w:p w14:paraId="4D5A88CB">
      <w:pPr>
        <w:keepNext w:val="0"/>
        <w:keepLines w:val="0"/>
        <w:pageBreakBefore w:val="0"/>
        <w:numPr>
          <w:ilvl w:val="2"/>
          <w:numId w:val="1"/>
        </w:numPr>
        <w:kinsoku/>
        <w:wordWrap/>
        <w:overflowPunct/>
        <w:topLinePunct w:val="0"/>
        <w:bidi w:val="0"/>
        <w:adjustRightInd w:val="0"/>
        <w:snapToGrid w:val="0"/>
        <w:spacing w:line="560" w:lineRule="exact"/>
        <w:ind w:firstLine="640" w:firstLineChars="200"/>
        <w:textAlignment w:val="baseline"/>
        <w:rPr>
          <w:rFonts w:ascii="国标仿宋" w:hAnsi="国标仿宋" w:eastAsia="国标仿宋" w:cs="国标仿宋"/>
          <w:sz w:val="32"/>
          <w:szCs w:val="32"/>
        </w:rPr>
      </w:pPr>
      <w:r>
        <w:rPr>
          <w:rFonts w:hint="eastAsia" w:eastAsia="仿宋_GB2312"/>
          <w:sz w:val="32"/>
          <w:szCs w:val="32"/>
        </w:rPr>
        <w:t>本规划根据辖区零售市场状态、交通状况、人口数量、消费者购买习惯等因素，参照行政区划，通过细分市场，</w:t>
      </w:r>
      <w:r>
        <w:rPr>
          <w:rFonts w:hint="eastAsia" w:ascii="仿宋_GB2312" w:hAnsi="仿宋_GB2312" w:eastAsia="仿宋_GB2312"/>
          <w:sz w:val="32"/>
          <w:szCs w:val="32"/>
        </w:rPr>
        <w:t>划定最小单元网格，将各最小单元网格划分为稳定区、培育区、发展区、核心区四种市场类型，对应零售点间隔距离标准分别为</w:t>
      </w:r>
      <w:r>
        <w:rPr>
          <w:rFonts w:hint="eastAsia" w:ascii="Times New Roman" w:hAnsi="Times New Roman" w:eastAsia="仿宋_GB2312" w:cs="国标仿宋"/>
          <w:sz w:val="32"/>
          <w:szCs w:val="32"/>
        </w:rPr>
        <w:t>80</w:t>
      </w:r>
      <w:r>
        <w:rPr>
          <w:rFonts w:hint="eastAsia" w:ascii="仿宋_GB2312" w:hAnsi="仿宋_GB2312" w:eastAsia="仿宋_GB2312" w:cs="国标仿宋"/>
          <w:sz w:val="32"/>
          <w:szCs w:val="32"/>
        </w:rPr>
        <w:t>米、</w:t>
      </w:r>
      <w:r>
        <w:rPr>
          <w:rFonts w:hint="eastAsia" w:ascii="Times New Roman" w:hAnsi="Times New Roman" w:eastAsia="仿宋_GB2312" w:cs="国标仿宋"/>
          <w:sz w:val="32"/>
          <w:szCs w:val="32"/>
        </w:rPr>
        <w:t>50</w:t>
      </w:r>
      <w:r>
        <w:rPr>
          <w:rFonts w:hint="eastAsia" w:ascii="仿宋_GB2312" w:hAnsi="仿宋_GB2312" w:eastAsia="仿宋_GB2312" w:cs="国标仿宋"/>
          <w:sz w:val="32"/>
          <w:szCs w:val="32"/>
        </w:rPr>
        <w:t>米、</w:t>
      </w:r>
      <w:r>
        <w:rPr>
          <w:rFonts w:hint="eastAsia" w:ascii="Times New Roman" w:hAnsi="Times New Roman" w:eastAsia="仿宋_GB2312" w:cs="国标仿宋"/>
          <w:sz w:val="32"/>
          <w:szCs w:val="32"/>
        </w:rPr>
        <w:t>30</w:t>
      </w:r>
      <w:r>
        <w:rPr>
          <w:rFonts w:hint="eastAsia" w:ascii="仿宋_GB2312" w:hAnsi="仿宋_GB2312" w:eastAsia="仿宋_GB2312" w:cs="国标仿宋"/>
          <w:sz w:val="32"/>
          <w:szCs w:val="32"/>
        </w:rPr>
        <w:t>米、</w:t>
      </w:r>
      <w:r>
        <w:rPr>
          <w:rFonts w:hint="eastAsia" w:ascii="Times New Roman" w:hAnsi="Times New Roman" w:eastAsia="仿宋_GB2312" w:cs="国标仿宋"/>
          <w:sz w:val="32"/>
          <w:szCs w:val="32"/>
        </w:rPr>
        <w:t>0</w:t>
      </w:r>
      <w:r>
        <w:rPr>
          <w:rFonts w:hint="eastAsia" w:ascii="仿宋_GB2312" w:hAnsi="仿宋_GB2312" w:eastAsia="仿宋_GB2312" w:cs="国标仿宋"/>
          <w:sz w:val="32"/>
          <w:szCs w:val="32"/>
        </w:rPr>
        <w:t>米，具体如下：</w:t>
      </w:r>
      <w:r>
        <w:rPr>
          <w:rFonts w:hint="eastAsia" w:ascii="国标仿宋" w:hAnsi="国标仿宋" w:eastAsia="国标仿宋" w:cs="国标仿宋"/>
          <w:sz w:val="32"/>
          <w:szCs w:val="32"/>
        </w:rPr>
        <w:t xml:space="preserve"> </w:t>
      </w:r>
    </w:p>
    <w:p w14:paraId="2ED52FD5">
      <w:pPr>
        <w:pStyle w:val="19"/>
        <w:keepNext w:val="0"/>
        <w:keepLines w:val="0"/>
        <w:pageBreakBefore w:val="0"/>
        <w:kinsoku/>
        <w:wordWrap/>
        <w:overflowPunct/>
        <w:topLinePunct w:val="0"/>
        <w:bidi w:val="0"/>
        <w:spacing w:line="560" w:lineRule="exact"/>
        <w:ind w:firstLine="643" w:firstLineChars="200"/>
        <w:rPr>
          <w:rFonts w:hint="eastAsia" w:ascii="Times New Roman" w:eastAsia="仿宋_GB2312" w:cs="Times New Roman"/>
          <w:color w:val="auto"/>
          <w:kern w:val="2"/>
          <w:sz w:val="32"/>
          <w:szCs w:val="32"/>
        </w:rPr>
      </w:pPr>
      <w:r>
        <w:rPr>
          <w:rFonts w:hint="eastAsia" w:ascii="Times New Roman" w:eastAsia="仿宋_GB2312" w:cs="Times New Roman"/>
          <w:b/>
          <w:bCs/>
          <w:color w:val="auto"/>
          <w:kern w:val="2"/>
          <w:sz w:val="32"/>
          <w:szCs w:val="32"/>
        </w:rPr>
        <w:t>稳定区</w:t>
      </w:r>
      <w:r>
        <w:rPr>
          <w:rFonts w:hint="eastAsia" w:ascii="Times New Roman" w:eastAsia="仿宋_GB2312" w:cs="Times New Roman"/>
          <w:color w:val="auto"/>
          <w:kern w:val="2"/>
          <w:sz w:val="32"/>
          <w:szCs w:val="32"/>
        </w:rPr>
        <w:t>：是指商业化和城市化程度较为稳定，原有烟草制品零售点设置已能较好满足市场发展需求的区域，对应距离标准不低于</w:t>
      </w:r>
      <w:r>
        <w:rPr>
          <w:rFonts w:ascii="Times New Roman" w:hAnsi="Times New Roman" w:eastAsia="仿宋_GB2312" w:cs="Times New Roman"/>
          <w:color w:val="auto"/>
          <w:kern w:val="2"/>
          <w:sz w:val="32"/>
          <w:szCs w:val="32"/>
        </w:rPr>
        <w:t>80</w:t>
      </w:r>
      <w:r>
        <w:rPr>
          <w:rFonts w:hint="eastAsia" w:ascii="Times New Roman" w:eastAsia="仿宋_GB2312" w:cs="Times New Roman"/>
          <w:color w:val="auto"/>
          <w:kern w:val="2"/>
          <w:sz w:val="32"/>
          <w:szCs w:val="32"/>
        </w:rPr>
        <w:t>米。</w:t>
      </w:r>
    </w:p>
    <w:p w14:paraId="591E1D10">
      <w:pPr>
        <w:pStyle w:val="19"/>
        <w:keepNext w:val="0"/>
        <w:keepLines w:val="0"/>
        <w:pageBreakBefore w:val="0"/>
        <w:kinsoku/>
        <w:wordWrap/>
        <w:overflowPunct/>
        <w:topLinePunct w:val="0"/>
        <w:bidi w:val="0"/>
        <w:spacing w:line="560" w:lineRule="exact"/>
        <w:ind w:firstLine="643" w:firstLineChars="200"/>
        <w:rPr>
          <w:rFonts w:ascii="Times New Roman" w:eastAsia="仿宋_GB2312" w:cs="Times New Roman"/>
          <w:color w:val="auto"/>
          <w:kern w:val="2"/>
          <w:sz w:val="32"/>
          <w:szCs w:val="32"/>
        </w:rPr>
      </w:pPr>
      <w:r>
        <w:rPr>
          <w:rFonts w:hint="eastAsia" w:ascii="Times New Roman" w:eastAsia="仿宋_GB2312" w:cs="Times New Roman"/>
          <w:b/>
          <w:bCs/>
          <w:color w:val="auto"/>
          <w:kern w:val="2"/>
          <w:sz w:val="32"/>
          <w:szCs w:val="32"/>
        </w:rPr>
        <w:t>培育区</w:t>
      </w:r>
      <w:r>
        <w:rPr>
          <w:rFonts w:hint="eastAsia" w:ascii="Times New Roman" w:eastAsia="仿宋_GB2312" w:cs="Times New Roman"/>
          <w:color w:val="auto"/>
          <w:kern w:val="2"/>
          <w:sz w:val="32"/>
          <w:szCs w:val="32"/>
        </w:rPr>
        <w:t>：是指商业区、居民区、交通枢纽等仍在进一步建设中，并具有一定经济发展空间的区域，原有烟草制品零售点设置还有市场发展需求的区域，对应距离标准不低于</w:t>
      </w:r>
      <w:r>
        <w:rPr>
          <w:rFonts w:ascii="Times New Roman" w:hAnsi="Times New Roman" w:eastAsia="仿宋_GB2312" w:cs="Times New Roman"/>
          <w:color w:val="auto"/>
          <w:kern w:val="2"/>
          <w:sz w:val="32"/>
          <w:szCs w:val="32"/>
        </w:rPr>
        <w:t>50</w:t>
      </w:r>
      <w:r>
        <w:rPr>
          <w:rFonts w:hint="eastAsia" w:ascii="Times New Roman" w:eastAsia="仿宋_GB2312" w:cs="Times New Roman"/>
          <w:color w:val="auto"/>
          <w:kern w:val="2"/>
          <w:sz w:val="32"/>
          <w:szCs w:val="32"/>
        </w:rPr>
        <w:t>米。</w:t>
      </w:r>
    </w:p>
    <w:p w14:paraId="035EA3CF">
      <w:pPr>
        <w:pStyle w:val="19"/>
        <w:keepNext w:val="0"/>
        <w:keepLines w:val="0"/>
        <w:pageBreakBefore w:val="0"/>
        <w:kinsoku/>
        <w:wordWrap/>
        <w:overflowPunct/>
        <w:topLinePunct w:val="0"/>
        <w:bidi w:val="0"/>
        <w:spacing w:line="560" w:lineRule="exact"/>
        <w:ind w:firstLine="643" w:firstLineChars="200"/>
        <w:rPr>
          <w:rFonts w:ascii="Times New Roman" w:eastAsia="仿宋_GB2312" w:cs="Times New Roman"/>
          <w:color w:val="auto"/>
          <w:kern w:val="2"/>
          <w:sz w:val="32"/>
          <w:szCs w:val="32"/>
        </w:rPr>
      </w:pPr>
      <w:r>
        <w:rPr>
          <w:rFonts w:hint="eastAsia" w:ascii="Times New Roman" w:eastAsia="仿宋_GB2312" w:cs="Times New Roman"/>
          <w:b/>
          <w:bCs/>
          <w:color w:val="auto"/>
          <w:kern w:val="2"/>
          <w:sz w:val="32"/>
          <w:szCs w:val="32"/>
        </w:rPr>
        <w:t>发展区</w:t>
      </w:r>
      <w:r>
        <w:rPr>
          <w:rFonts w:hint="eastAsia" w:ascii="Times New Roman" w:eastAsia="仿宋_GB2312" w:cs="Times New Roman"/>
          <w:color w:val="auto"/>
          <w:kern w:val="2"/>
          <w:sz w:val="32"/>
          <w:szCs w:val="32"/>
        </w:rPr>
        <w:t>：是指大型商业综合体、大型居民生活区、辖区旅居“打卡地”等较为集中，人流量较大，商业化程度较高，原有烟草制品零售点设置还有较大市场发展需求的区域，对应距离标准不低于</w:t>
      </w:r>
      <w:r>
        <w:rPr>
          <w:rFonts w:ascii="Times New Roman" w:hAnsi="Times New Roman" w:eastAsia="仿宋_GB2312" w:cs="Times New Roman"/>
          <w:color w:val="auto"/>
          <w:kern w:val="2"/>
          <w:sz w:val="32"/>
          <w:szCs w:val="32"/>
        </w:rPr>
        <w:t>30</w:t>
      </w:r>
      <w:r>
        <w:rPr>
          <w:rFonts w:hint="eastAsia" w:ascii="Times New Roman" w:eastAsia="仿宋_GB2312" w:cs="Times New Roman"/>
          <w:color w:val="auto"/>
          <w:kern w:val="2"/>
          <w:sz w:val="32"/>
          <w:szCs w:val="32"/>
        </w:rPr>
        <w:t>米。</w:t>
      </w:r>
    </w:p>
    <w:p w14:paraId="0AAF5978">
      <w:pPr>
        <w:pStyle w:val="19"/>
        <w:keepNext w:val="0"/>
        <w:keepLines w:val="0"/>
        <w:pageBreakBefore w:val="0"/>
        <w:kinsoku/>
        <w:wordWrap/>
        <w:overflowPunct/>
        <w:topLinePunct w:val="0"/>
        <w:bidi w:val="0"/>
        <w:spacing w:line="560" w:lineRule="exact"/>
        <w:ind w:firstLine="643" w:firstLineChars="200"/>
        <w:rPr>
          <w:rFonts w:ascii="Times New Roman" w:eastAsia="仿宋_GB2312" w:cs="Times New Roman"/>
          <w:color w:val="auto"/>
          <w:kern w:val="2"/>
          <w:sz w:val="32"/>
          <w:szCs w:val="32"/>
        </w:rPr>
      </w:pPr>
      <w:r>
        <w:rPr>
          <w:rFonts w:hint="eastAsia" w:ascii="Times New Roman" w:eastAsia="仿宋_GB2312" w:cs="Times New Roman"/>
          <w:b/>
          <w:bCs/>
          <w:color w:val="auto"/>
          <w:kern w:val="2"/>
          <w:sz w:val="32"/>
          <w:szCs w:val="32"/>
        </w:rPr>
        <w:t>核心区</w:t>
      </w:r>
      <w:r>
        <w:rPr>
          <w:rFonts w:hint="eastAsia" w:ascii="Times New Roman" w:eastAsia="仿宋_GB2312" w:cs="Times New Roman"/>
          <w:color w:val="auto"/>
          <w:kern w:val="2"/>
          <w:sz w:val="32"/>
          <w:szCs w:val="32"/>
        </w:rPr>
        <w:t>：是指城市功能高度集中、人员流动频繁的核心商圈、中央商务区</w:t>
      </w:r>
      <w:r>
        <w:rPr>
          <w:rFonts w:hint="eastAsia" w:ascii="Times New Roman" w:eastAsia="仿宋_GB2312" w:cs="Times New Roman"/>
          <w:color w:val="auto"/>
          <w:kern w:val="2"/>
          <w:sz w:val="32"/>
          <w:szCs w:val="32"/>
          <w:lang w:eastAsia="zh-CN"/>
        </w:rPr>
        <w:t>（</w:t>
      </w:r>
      <w:r>
        <w:rPr>
          <w:rFonts w:ascii="Times New Roman" w:eastAsia="仿宋_GB2312" w:cs="Times New Roman"/>
          <w:color w:val="auto"/>
          <w:kern w:val="2"/>
          <w:sz w:val="32"/>
          <w:szCs w:val="32"/>
        </w:rPr>
        <w:t>CBD</w:t>
      </w:r>
      <w:r>
        <w:rPr>
          <w:rFonts w:hint="eastAsia" w:ascii="Times New Roman" w:eastAsia="仿宋_GB2312" w:cs="Times New Roman"/>
          <w:color w:val="auto"/>
          <w:kern w:val="2"/>
          <w:sz w:val="32"/>
          <w:szCs w:val="32"/>
          <w:lang w:eastAsia="zh-CN"/>
        </w:rPr>
        <w:t>）</w:t>
      </w:r>
      <w:r>
        <w:rPr>
          <w:rFonts w:hint="eastAsia" w:ascii="Times New Roman" w:eastAsia="仿宋_GB2312" w:cs="Times New Roman"/>
          <w:color w:val="auto"/>
          <w:kern w:val="2"/>
          <w:sz w:val="32"/>
          <w:szCs w:val="32"/>
        </w:rPr>
        <w:t>或交通枢纽区域，具有高人流密度特点，市场发展活跃，烟草制品消费需求较高，原有烟草制品零售点设置还有很大市场发展需求，且边界四至清晰的区域，不设距离标准，可单独设置数量管理的区域。</w:t>
      </w:r>
    </w:p>
    <w:p w14:paraId="3ABB9191">
      <w:pPr>
        <w:keepNext w:val="0"/>
        <w:keepLines w:val="0"/>
        <w:pageBreakBefore w:val="0"/>
        <w:numPr>
          <w:ilvl w:val="2"/>
          <w:numId w:val="1"/>
        </w:numPr>
        <w:kinsoku/>
        <w:wordWrap/>
        <w:overflowPunct/>
        <w:topLinePunct w:val="0"/>
        <w:bidi w:val="0"/>
        <w:adjustRightInd w:val="0"/>
        <w:snapToGrid w:val="0"/>
        <w:spacing w:line="560" w:lineRule="exact"/>
        <w:ind w:firstLine="640" w:firstLineChars="200"/>
        <w:textAlignment w:val="baseline"/>
        <w:rPr>
          <w:rFonts w:eastAsia="仿宋_GB2312"/>
          <w:spacing w:val="10"/>
          <w:sz w:val="32"/>
          <w:szCs w:val="32"/>
        </w:rPr>
      </w:pPr>
      <w:r>
        <w:rPr>
          <w:rFonts w:hint="eastAsia" w:eastAsia="仿宋_GB2312"/>
          <w:sz w:val="32"/>
          <w:szCs w:val="32"/>
        </w:rPr>
        <w:t>本规划根据辖区地域面积、人口数量、交通状况、经济发展水平、居民消费能力、消费者购买习惯等因素，合理确定各单元网格内可设置的零售点规划数量，并结合各单元网格内人口数量、烟草制品销量、零售许可证申办数量变化幅度等因素，进行动态调整。</w:t>
      </w:r>
    </w:p>
    <w:p w14:paraId="7F22D6BA">
      <w:pPr>
        <w:keepNext w:val="0"/>
        <w:keepLines w:val="0"/>
        <w:pageBreakBefore w:val="0"/>
        <w:kinsoku/>
        <w:wordWrap/>
        <w:overflowPunct/>
        <w:topLinePunct w:val="0"/>
        <w:bidi w:val="0"/>
        <w:adjustRightInd w:val="0"/>
        <w:snapToGrid w:val="0"/>
        <w:spacing w:line="560" w:lineRule="exact"/>
        <w:ind w:firstLine="640" w:firstLineChars="200"/>
        <w:textAlignment w:val="baseline"/>
      </w:pPr>
      <w:r>
        <w:rPr>
          <w:rFonts w:hint="eastAsia" w:eastAsia="仿宋_GB2312"/>
          <w:sz w:val="32"/>
          <w:szCs w:val="32"/>
        </w:rPr>
        <w:t>在某一单元网格内零售点数量达到规划数时，该单元网格不予新设零售点。</w:t>
      </w:r>
    </w:p>
    <w:p w14:paraId="763339FA">
      <w:pPr>
        <w:keepNext w:val="0"/>
        <w:keepLines w:val="0"/>
        <w:pageBreakBefore w:val="0"/>
        <w:numPr>
          <w:ilvl w:val="2"/>
          <w:numId w:val="1"/>
        </w:numPr>
        <w:kinsoku/>
        <w:wordWrap/>
        <w:overflowPunct/>
        <w:topLinePunct w:val="0"/>
        <w:bidi w:val="0"/>
        <w:adjustRightInd w:val="0"/>
        <w:snapToGrid w:val="0"/>
        <w:spacing w:line="560" w:lineRule="exact"/>
        <w:ind w:firstLine="640" w:firstLineChars="200"/>
        <w:textAlignment w:val="baseline"/>
        <w:rPr>
          <w:rFonts w:eastAsia="楷体"/>
          <w:sz w:val="32"/>
          <w:szCs w:val="32"/>
        </w:rPr>
      </w:pPr>
      <w:r>
        <w:rPr>
          <w:rFonts w:hint="eastAsia" w:eastAsia="仿宋_GB2312"/>
          <w:sz w:val="32"/>
          <w:szCs w:val="32"/>
        </w:rPr>
        <w:t>本县零售点合理布局规划数及规划区域、区域网格归属等详见《</w:t>
      </w:r>
      <w:bookmarkStart w:id="0" w:name="OLE_LINK15"/>
      <w:bookmarkStart w:id="1" w:name="OLE_LINK16"/>
      <w:r>
        <w:rPr>
          <w:rFonts w:hint="eastAsia" w:eastAsia="仿宋_GB2312"/>
          <w:sz w:val="32"/>
          <w:szCs w:val="32"/>
        </w:rPr>
        <w:t>云南省昆明市禄劝县烟草专卖局</w:t>
      </w:r>
      <w:bookmarkEnd w:id="0"/>
      <w:bookmarkEnd w:id="1"/>
      <w:r>
        <w:rPr>
          <w:rFonts w:hint="eastAsia" w:eastAsia="仿宋_GB2312"/>
          <w:sz w:val="32"/>
          <w:szCs w:val="32"/>
        </w:rPr>
        <w:t>烟草制品零售点合理布局公示表》（附件</w:t>
      </w:r>
      <w:r>
        <w:rPr>
          <w:rFonts w:ascii="Times New Roman" w:hAnsi="Times New Roman" w:eastAsia="仿宋_GB2312"/>
          <w:sz w:val="32"/>
          <w:szCs w:val="32"/>
        </w:rPr>
        <w:t>2</w:t>
      </w:r>
      <w:r>
        <w:rPr>
          <w:rFonts w:hint="eastAsia" w:eastAsia="仿宋_GB2312"/>
          <w:sz w:val="32"/>
          <w:szCs w:val="32"/>
        </w:rPr>
        <w:t>）、《云南省昆明市禄劝县烟草专卖局雪茄烟专营店零售点合理布局公示表》（附件</w:t>
      </w:r>
      <w:r>
        <w:rPr>
          <w:rFonts w:ascii="Times New Roman" w:hAnsi="Times New Roman" w:eastAsia="仿宋_GB2312"/>
          <w:sz w:val="32"/>
          <w:szCs w:val="32"/>
        </w:rPr>
        <w:t>3</w:t>
      </w:r>
      <w:r>
        <w:rPr>
          <w:rFonts w:hint="eastAsia" w:eastAsia="仿宋_GB2312"/>
          <w:sz w:val="32"/>
          <w:szCs w:val="32"/>
        </w:rPr>
        <w:t>）、《云南省昆明市禄劝县烟草专卖局烟草制品零售点合理布局网格示意图》（附件</w:t>
      </w:r>
      <w:r>
        <w:rPr>
          <w:rFonts w:ascii="Times New Roman" w:hAnsi="Times New Roman" w:eastAsia="仿宋_GB2312"/>
          <w:sz w:val="32"/>
          <w:szCs w:val="32"/>
        </w:rPr>
        <w:t>4</w:t>
      </w:r>
      <w:r>
        <w:rPr>
          <w:rFonts w:hint="eastAsia" w:eastAsia="仿宋_GB2312"/>
          <w:sz w:val="32"/>
          <w:szCs w:val="32"/>
        </w:rPr>
        <w:t>）。</w:t>
      </w:r>
    </w:p>
    <w:p w14:paraId="4AAFF8A1">
      <w:pPr>
        <w:keepNext w:val="0"/>
        <w:keepLines w:val="0"/>
        <w:pageBreakBefore w:val="0"/>
        <w:numPr>
          <w:ilvl w:val="2"/>
          <w:numId w:val="1"/>
        </w:numPr>
        <w:kinsoku/>
        <w:wordWrap/>
        <w:overflowPunct/>
        <w:topLinePunct w:val="0"/>
        <w:bidi w:val="0"/>
        <w:adjustRightInd w:val="0"/>
        <w:snapToGrid w:val="0"/>
        <w:spacing w:line="560" w:lineRule="exact"/>
        <w:ind w:firstLine="640" w:firstLineChars="200"/>
        <w:textAlignment w:val="baseline"/>
        <w:rPr>
          <w:rFonts w:eastAsia="仿宋_GB2312"/>
          <w:sz w:val="32"/>
          <w:szCs w:val="32"/>
        </w:rPr>
      </w:pPr>
      <w:bookmarkStart w:id="2" w:name="OLE_LINK27"/>
      <w:bookmarkStart w:id="3" w:name="OLE_LINK13"/>
      <w:bookmarkStart w:id="4" w:name="OLE_LINK14"/>
      <w:r>
        <w:rPr>
          <w:rFonts w:hint="eastAsia" w:eastAsia="仿宋_GB2312"/>
          <w:sz w:val="32"/>
          <w:szCs w:val="32"/>
        </w:rPr>
        <w:t>火车站、汽车站、码头、景区、旅居“打卡地”、</w:t>
      </w:r>
      <w:r>
        <w:rPr>
          <w:rFonts w:ascii="Times New Roman" w:hAnsi="Times New Roman" w:eastAsia="仿宋_GB2312"/>
          <w:sz w:val="32"/>
          <w:szCs w:val="32"/>
        </w:rPr>
        <w:t>4</w:t>
      </w:r>
      <w:r>
        <w:rPr>
          <w:rFonts w:eastAsia="仿宋_GB2312"/>
          <w:sz w:val="32"/>
          <w:szCs w:val="32"/>
        </w:rPr>
        <w:t>A</w:t>
      </w:r>
      <w:r>
        <w:rPr>
          <w:rFonts w:hint="eastAsia" w:eastAsia="仿宋_GB2312"/>
          <w:sz w:val="32"/>
          <w:szCs w:val="32"/>
        </w:rPr>
        <w:t>级旅游景区、矿区、工业园区等区域，</w:t>
      </w:r>
      <w:bookmarkEnd w:id="2"/>
      <w:r>
        <w:rPr>
          <w:rFonts w:hint="eastAsia" w:eastAsia="仿宋_GB2312"/>
          <w:sz w:val="32"/>
          <w:szCs w:val="32"/>
        </w:rPr>
        <w:t>单独设置为特殊区域网格，可单独设置零售点数量不受间距限制；结合相应人流数量、场所配置等实际，进行规划并动态调整。</w:t>
      </w:r>
    </w:p>
    <w:bookmarkEnd w:id="3"/>
    <w:bookmarkEnd w:id="4"/>
    <w:p w14:paraId="61D32C77">
      <w:pPr>
        <w:keepNext w:val="0"/>
        <w:keepLines w:val="0"/>
        <w:pageBreakBefore w:val="0"/>
        <w:numPr>
          <w:ilvl w:val="2"/>
          <w:numId w:val="1"/>
        </w:numPr>
        <w:kinsoku/>
        <w:wordWrap/>
        <w:overflowPunct/>
        <w:topLinePunct w:val="0"/>
        <w:bidi w:val="0"/>
        <w:adjustRightInd w:val="0"/>
        <w:snapToGrid w:val="0"/>
        <w:spacing w:line="560" w:lineRule="exact"/>
        <w:ind w:firstLine="640" w:firstLineChars="200"/>
        <w:textAlignment w:val="baseline"/>
        <w:rPr>
          <w:rFonts w:eastAsia="仿宋_GB2312"/>
          <w:sz w:val="32"/>
          <w:szCs w:val="32"/>
        </w:rPr>
      </w:pPr>
      <w:r>
        <w:rPr>
          <w:rFonts w:hint="eastAsia" w:eastAsia="仿宋_GB2312"/>
          <w:sz w:val="32"/>
          <w:szCs w:val="32"/>
        </w:rPr>
        <w:t>下列区域可单独设置一个零售点，不受本区域单元网格规划数量、距离限制：</w:t>
      </w:r>
    </w:p>
    <w:p w14:paraId="794723C7">
      <w:pPr>
        <w:keepNext w:val="0"/>
        <w:keepLines w:val="0"/>
        <w:pageBreakBefore w:val="0"/>
        <w:numPr>
          <w:ilvl w:val="0"/>
          <w:numId w:val="2"/>
        </w:numPr>
        <w:kinsoku/>
        <w:wordWrap/>
        <w:overflowPunct/>
        <w:topLinePunct w:val="0"/>
        <w:bidi w:val="0"/>
        <w:adjustRightInd w:val="0"/>
        <w:snapToGrid w:val="0"/>
        <w:spacing w:line="560" w:lineRule="exact"/>
        <w:ind w:firstLine="640" w:firstLineChars="200"/>
        <w:textAlignment w:val="baseline"/>
        <w:rPr>
          <w:rFonts w:eastAsia="楷体"/>
          <w:sz w:val="32"/>
          <w:szCs w:val="32"/>
        </w:rPr>
      </w:pPr>
      <w:r>
        <w:rPr>
          <w:rFonts w:hint="eastAsia" w:eastAsia="仿宋_GB2312"/>
          <w:sz w:val="32"/>
          <w:szCs w:val="32"/>
        </w:rPr>
        <w:t>经营场所经营面积（不包括仓库、车库、休息室、办公场所等辅助设施的面积）在</w:t>
      </w:r>
      <w:r>
        <w:rPr>
          <w:rFonts w:hint="eastAsia" w:ascii="Times New Roman" w:hAnsi="Times New Roman" w:eastAsia="仿宋_GB2312" w:cs="仿宋_GB2312"/>
          <w:sz w:val="32"/>
          <w:szCs w:val="32"/>
        </w:rPr>
        <w:t>100</w:t>
      </w:r>
      <w:r>
        <w:rPr>
          <w:rFonts w:hint="eastAsia" w:ascii="仿宋_GB2312" w:hAnsi="仿宋_GB2312" w:eastAsia="仿宋_GB2312" w:cs="仿宋_GB2312"/>
          <w:sz w:val="32"/>
          <w:szCs w:val="32"/>
        </w:rPr>
        <w:t>平方米及其</w:t>
      </w:r>
      <w:r>
        <w:rPr>
          <w:rFonts w:hint="eastAsia" w:eastAsia="仿宋_GB2312"/>
          <w:sz w:val="32"/>
          <w:szCs w:val="32"/>
        </w:rPr>
        <w:t>以上的商场、超市、便利店或烟草专业店；</w:t>
      </w:r>
    </w:p>
    <w:p w14:paraId="17E205D4">
      <w:pPr>
        <w:keepNext w:val="0"/>
        <w:keepLines w:val="0"/>
        <w:pageBreakBefore w:val="0"/>
        <w:widowControl/>
        <w:kinsoku/>
        <w:wordWrap/>
        <w:overflowPunct/>
        <w:topLinePunct w:val="0"/>
        <w:bidi w:val="0"/>
        <w:spacing w:before="5" w:line="560" w:lineRule="exact"/>
        <w:ind w:left="1"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（二）部队、监狱、看守所、戒毒所封闭经营管理区域；</w:t>
      </w:r>
    </w:p>
    <w:p w14:paraId="2C9F647C">
      <w:pPr>
        <w:keepNext w:val="0"/>
        <w:keepLines w:val="0"/>
        <w:pageBreakBefore w:val="0"/>
        <w:widowControl/>
        <w:kinsoku/>
        <w:wordWrap/>
        <w:overflowPunct/>
        <w:topLinePunct w:val="0"/>
        <w:bidi w:val="0"/>
        <w:spacing w:before="5" w:line="560" w:lineRule="exact"/>
        <w:ind w:left="1"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（三）未设置烟草制品零售点的加油站及其配套服务区内部；</w:t>
      </w:r>
    </w:p>
    <w:p w14:paraId="4B671F89">
      <w:pPr>
        <w:keepNext w:val="0"/>
        <w:keepLines w:val="0"/>
        <w:pageBreakBefore w:val="0"/>
        <w:widowControl/>
        <w:kinsoku/>
        <w:wordWrap/>
        <w:overflowPunct/>
        <w:topLinePunct w:val="0"/>
        <w:bidi w:val="0"/>
        <w:spacing w:before="5" w:line="560" w:lineRule="exact"/>
        <w:ind w:left="1"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（四）商用楼宇（按每栋楼宇计）公共楼层部分已形成实际商品展卖场所，但未设置烟草制品零售点的。</w:t>
      </w:r>
    </w:p>
    <w:p w14:paraId="332C339E">
      <w:pPr>
        <w:keepNext w:val="0"/>
        <w:keepLines w:val="0"/>
        <w:pageBreakBefore w:val="0"/>
        <w:numPr>
          <w:ilvl w:val="2"/>
          <w:numId w:val="1"/>
        </w:numPr>
        <w:kinsoku/>
        <w:wordWrap/>
        <w:overflowPunct/>
        <w:topLinePunct w:val="0"/>
        <w:bidi w:val="0"/>
        <w:adjustRightInd w:val="0"/>
        <w:snapToGrid w:val="0"/>
        <w:spacing w:line="560" w:lineRule="exact"/>
        <w:ind w:firstLine="640" w:firstLineChars="200"/>
        <w:textAlignment w:val="baseline"/>
        <w:rPr>
          <w:rFonts w:hint="eastAsia" w:eastAsia="仿宋_GB2312"/>
          <w:sz w:val="32"/>
          <w:szCs w:val="32"/>
        </w:rPr>
      </w:pPr>
      <w:r>
        <w:rPr>
          <w:rFonts w:hint="eastAsia" w:eastAsia="仿宋_GB2312"/>
          <w:sz w:val="32"/>
          <w:szCs w:val="32"/>
        </w:rPr>
        <w:t>具有下列情形之一的，不予设置零售点：</w:t>
      </w:r>
    </w:p>
    <w:p w14:paraId="764A7BBF">
      <w:pPr>
        <w:keepNext w:val="0"/>
        <w:keepLines w:val="0"/>
        <w:pageBreakBefore w:val="0"/>
        <w:numPr>
          <w:ilvl w:val="0"/>
          <w:numId w:val="3"/>
        </w:numPr>
        <w:kinsoku/>
        <w:wordWrap/>
        <w:overflowPunct/>
        <w:topLinePunct w:val="0"/>
        <w:bidi w:val="0"/>
        <w:adjustRightInd w:val="0"/>
        <w:snapToGrid w:val="0"/>
        <w:spacing w:line="560" w:lineRule="exact"/>
        <w:ind w:firstLine="640" w:firstLineChars="200"/>
        <w:textAlignment w:val="baseline"/>
        <w:rPr>
          <w:rFonts w:eastAsia="仿宋_GB2312"/>
          <w:sz w:val="32"/>
          <w:szCs w:val="32"/>
        </w:rPr>
      </w:pPr>
      <w:r>
        <w:rPr>
          <w:rFonts w:hint="eastAsia" w:eastAsia="仿宋_GB2312"/>
          <w:sz w:val="32"/>
          <w:szCs w:val="32"/>
        </w:rPr>
        <w:t>申请人为无民事行为能力人或者限制行为能力人的；</w:t>
      </w:r>
    </w:p>
    <w:p w14:paraId="0838E10A">
      <w:pPr>
        <w:keepNext w:val="0"/>
        <w:keepLines w:val="0"/>
        <w:pageBreakBefore w:val="0"/>
        <w:numPr>
          <w:ilvl w:val="0"/>
          <w:numId w:val="3"/>
        </w:numPr>
        <w:kinsoku/>
        <w:wordWrap/>
        <w:overflowPunct/>
        <w:topLinePunct w:val="0"/>
        <w:bidi w:val="0"/>
        <w:adjustRightInd w:val="0"/>
        <w:snapToGrid w:val="0"/>
        <w:spacing w:line="560" w:lineRule="exact"/>
        <w:ind w:firstLine="640" w:firstLineChars="200"/>
        <w:textAlignment w:val="baseline"/>
        <w:rPr>
          <w:rFonts w:eastAsia="仿宋_GB2312"/>
          <w:sz w:val="32"/>
          <w:szCs w:val="32"/>
        </w:rPr>
      </w:pPr>
      <w:r>
        <w:rPr>
          <w:rFonts w:hint="eastAsia" w:eastAsia="仿宋_GB2312"/>
          <w:sz w:val="32"/>
          <w:szCs w:val="32"/>
        </w:rPr>
        <w:t>申请人隐瞒有关情况或提供虚假材料的；因隐瞒有关情况或者提供虚假材料，烟草专卖局作出不予受理或者不予发证决定后，申请人一年内再次提出申请的；</w:t>
      </w:r>
    </w:p>
    <w:p w14:paraId="006F5EEA">
      <w:pPr>
        <w:keepNext w:val="0"/>
        <w:keepLines w:val="0"/>
        <w:pageBreakBefore w:val="0"/>
        <w:numPr>
          <w:ilvl w:val="0"/>
          <w:numId w:val="3"/>
        </w:numPr>
        <w:kinsoku/>
        <w:wordWrap/>
        <w:overflowPunct/>
        <w:topLinePunct w:val="0"/>
        <w:bidi w:val="0"/>
        <w:adjustRightInd w:val="0"/>
        <w:snapToGrid w:val="0"/>
        <w:spacing w:line="560" w:lineRule="exact"/>
        <w:ind w:firstLine="640" w:firstLineChars="200"/>
        <w:textAlignment w:val="baseline"/>
        <w:rPr>
          <w:rFonts w:eastAsia="仿宋_GB2312"/>
          <w:sz w:val="32"/>
          <w:szCs w:val="32"/>
        </w:rPr>
      </w:pPr>
      <w:r>
        <w:rPr>
          <w:rFonts w:hint="eastAsia" w:eastAsia="仿宋_GB2312"/>
          <w:sz w:val="32"/>
          <w:szCs w:val="32"/>
        </w:rPr>
        <w:t>被取消从事烟草专卖业务资格不满三年的；未领取烟草专卖零售许可证经营烟草专卖品业务，并且一年内被执法机关处罚两次以上，在三年内申请领取烟草专卖零售许可证的；因未领取烟草专卖零售许可证经营烟草专卖品业务被追究刑事责任，在三年内申请领取烟草专卖零售许可证的；</w:t>
      </w:r>
    </w:p>
    <w:p w14:paraId="48C38438">
      <w:pPr>
        <w:keepNext w:val="0"/>
        <w:keepLines w:val="0"/>
        <w:pageBreakBefore w:val="0"/>
        <w:numPr>
          <w:ilvl w:val="0"/>
          <w:numId w:val="3"/>
        </w:numPr>
        <w:kinsoku/>
        <w:wordWrap/>
        <w:overflowPunct/>
        <w:topLinePunct w:val="0"/>
        <w:bidi w:val="0"/>
        <w:adjustRightInd w:val="0"/>
        <w:snapToGrid w:val="0"/>
        <w:spacing w:line="560" w:lineRule="exact"/>
        <w:ind w:firstLine="640" w:firstLineChars="200"/>
        <w:textAlignment w:val="baseline"/>
        <w:rPr>
          <w:rFonts w:eastAsia="仿宋_GB2312"/>
          <w:sz w:val="32"/>
          <w:szCs w:val="32"/>
        </w:rPr>
      </w:pPr>
      <w:r>
        <w:rPr>
          <w:rFonts w:hint="eastAsia" w:eastAsia="仿宋_GB2312"/>
          <w:sz w:val="32"/>
          <w:szCs w:val="32"/>
        </w:rPr>
        <w:t>外商投资的商业企业或者个体工商户，但有外资成分以提供住宿、餐饮、休闲、娱乐为主要经营的宾馆、酒店等属于娱乐服务类的企业和经国家有关部门批准为国有控股的混合所有制企业除外；</w:t>
      </w:r>
    </w:p>
    <w:p w14:paraId="413F9222">
      <w:pPr>
        <w:keepNext w:val="0"/>
        <w:keepLines w:val="0"/>
        <w:pageBreakBefore w:val="0"/>
        <w:numPr>
          <w:ilvl w:val="0"/>
          <w:numId w:val="3"/>
        </w:numPr>
        <w:kinsoku/>
        <w:wordWrap/>
        <w:overflowPunct/>
        <w:topLinePunct w:val="0"/>
        <w:bidi w:val="0"/>
        <w:adjustRightInd w:val="0"/>
        <w:snapToGrid w:val="0"/>
        <w:spacing w:line="560" w:lineRule="exact"/>
        <w:ind w:firstLine="640" w:firstLineChars="200"/>
        <w:textAlignment w:val="baseline"/>
        <w:rPr>
          <w:rFonts w:eastAsia="仿宋_GB2312"/>
          <w:sz w:val="32"/>
          <w:szCs w:val="32"/>
        </w:rPr>
      </w:pPr>
      <w:r>
        <w:rPr>
          <w:rFonts w:hint="eastAsia" w:eastAsia="仿宋_GB2312"/>
          <w:sz w:val="32"/>
          <w:szCs w:val="32"/>
        </w:rPr>
        <w:t>无固定经营场所的：包括但不限于流动的摊、点、车、棚、简易板房、活动板房（彩钢房）、临时占道的建筑等；（除政府相关部门批准而建设，相关证明材料齐全的除外）</w:t>
      </w:r>
    </w:p>
    <w:p w14:paraId="1813D71D">
      <w:pPr>
        <w:keepNext w:val="0"/>
        <w:keepLines w:val="0"/>
        <w:pageBreakBefore w:val="0"/>
        <w:numPr>
          <w:ilvl w:val="0"/>
          <w:numId w:val="3"/>
        </w:numPr>
        <w:kinsoku/>
        <w:wordWrap/>
        <w:overflowPunct/>
        <w:topLinePunct w:val="0"/>
        <w:bidi w:val="0"/>
        <w:adjustRightInd w:val="0"/>
        <w:snapToGrid w:val="0"/>
        <w:spacing w:line="560" w:lineRule="exact"/>
        <w:ind w:firstLine="640" w:firstLineChars="200"/>
        <w:textAlignment w:val="baseline"/>
        <w:rPr>
          <w:rFonts w:eastAsia="仿宋_GB2312"/>
          <w:sz w:val="32"/>
          <w:szCs w:val="32"/>
        </w:rPr>
      </w:pPr>
      <w:r>
        <w:rPr>
          <w:rFonts w:hint="eastAsia" w:eastAsia="仿宋_GB2312"/>
          <w:sz w:val="32"/>
          <w:szCs w:val="32"/>
        </w:rPr>
        <w:t>经营场所与住所不相独立的：包括但不限于经营场所为住所的客厅、餐厅、卧室、阳台、地下室、储藏室等或车库、居民楼内公用道、楼梯间等；</w:t>
      </w:r>
    </w:p>
    <w:p w14:paraId="2E733BAD">
      <w:pPr>
        <w:keepNext w:val="0"/>
        <w:keepLines w:val="0"/>
        <w:pageBreakBefore w:val="0"/>
        <w:numPr>
          <w:ilvl w:val="0"/>
          <w:numId w:val="3"/>
        </w:numPr>
        <w:kinsoku/>
        <w:wordWrap/>
        <w:overflowPunct/>
        <w:topLinePunct w:val="0"/>
        <w:bidi w:val="0"/>
        <w:adjustRightInd w:val="0"/>
        <w:snapToGrid w:val="0"/>
        <w:spacing w:line="560" w:lineRule="exact"/>
        <w:ind w:firstLine="640" w:firstLineChars="200"/>
        <w:textAlignment w:val="baseline"/>
        <w:rPr>
          <w:rFonts w:eastAsia="仿宋_GB2312"/>
          <w:sz w:val="32"/>
          <w:szCs w:val="32"/>
        </w:rPr>
      </w:pPr>
      <w:r>
        <w:rPr>
          <w:rFonts w:hint="eastAsia" w:eastAsia="仿宋_GB2312"/>
          <w:sz w:val="32"/>
          <w:szCs w:val="32"/>
        </w:rPr>
        <w:t>经营场所已经办理了仍在有效期内的烟草专卖零售许可证的；</w:t>
      </w:r>
    </w:p>
    <w:p w14:paraId="4D303C00">
      <w:pPr>
        <w:keepNext w:val="0"/>
        <w:keepLines w:val="0"/>
        <w:pageBreakBefore w:val="0"/>
        <w:numPr>
          <w:ilvl w:val="0"/>
          <w:numId w:val="3"/>
        </w:numPr>
        <w:kinsoku/>
        <w:wordWrap/>
        <w:overflowPunct/>
        <w:topLinePunct w:val="0"/>
        <w:bidi w:val="0"/>
        <w:adjustRightInd w:val="0"/>
        <w:snapToGrid w:val="0"/>
        <w:spacing w:line="560" w:lineRule="exact"/>
        <w:ind w:firstLine="640" w:firstLineChars="200"/>
        <w:textAlignment w:val="baseline"/>
        <w:rPr>
          <w:rFonts w:eastAsia="仿宋_GB2312"/>
          <w:sz w:val="32"/>
          <w:szCs w:val="32"/>
        </w:rPr>
      </w:pPr>
      <w:r>
        <w:rPr>
          <w:rFonts w:hint="eastAsia" w:eastAsia="仿宋_GB2312"/>
          <w:sz w:val="32"/>
          <w:szCs w:val="32"/>
        </w:rPr>
        <w:t>经营场所位于党政机关内部或者医疗卫生机构内部的；</w:t>
      </w:r>
    </w:p>
    <w:p w14:paraId="7E7F73B2">
      <w:pPr>
        <w:keepNext w:val="0"/>
        <w:keepLines w:val="0"/>
        <w:pageBreakBefore w:val="0"/>
        <w:numPr>
          <w:ilvl w:val="0"/>
          <w:numId w:val="3"/>
        </w:numPr>
        <w:kinsoku/>
        <w:wordWrap/>
        <w:overflowPunct/>
        <w:topLinePunct w:val="0"/>
        <w:bidi w:val="0"/>
        <w:adjustRightInd w:val="0"/>
        <w:snapToGrid w:val="0"/>
        <w:spacing w:line="560" w:lineRule="exact"/>
        <w:ind w:firstLine="640" w:firstLineChars="200"/>
        <w:textAlignment w:val="baseline"/>
        <w:rPr>
          <w:rFonts w:eastAsia="仿宋_GB2312"/>
          <w:sz w:val="32"/>
          <w:szCs w:val="32"/>
        </w:rPr>
      </w:pPr>
      <w:r>
        <w:rPr>
          <w:rFonts w:hint="eastAsia" w:eastAsia="仿宋_GB2312"/>
          <w:sz w:val="32"/>
          <w:szCs w:val="32"/>
        </w:rPr>
        <w:t>经营场所基于安全因素不适宜经营烟草制品的；包括但不限于主要经营烟花爆竹、农药化肥、</w:t>
      </w:r>
      <w:r>
        <w:rPr>
          <w:rFonts w:hint="eastAsia" w:eastAsia="仿宋_GB2312"/>
          <w:spacing w:val="10"/>
          <w:sz w:val="32"/>
          <w:szCs w:val="32"/>
        </w:rPr>
        <w:t>美容美发、药妆医械等业态。</w:t>
      </w:r>
    </w:p>
    <w:p w14:paraId="4002D298">
      <w:pPr>
        <w:keepNext w:val="0"/>
        <w:keepLines w:val="0"/>
        <w:pageBreakBefore w:val="0"/>
        <w:numPr>
          <w:ilvl w:val="0"/>
          <w:numId w:val="3"/>
        </w:numPr>
        <w:kinsoku/>
        <w:wordWrap/>
        <w:overflowPunct/>
        <w:topLinePunct w:val="0"/>
        <w:bidi w:val="0"/>
        <w:adjustRightInd w:val="0"/>
        <w:snapToGrid w:val="0"/>
        <w:spacing w:line="560" w:lineRule="exact"/>
        <w:ind w:firstLine="640" w:firstLineChars="200"/>
        <w:textAlignment w:val="baseline"/>
        <w:rPr>
          <w:rFonts w:eastAsia="仿宋_GB2312"/>
          <w:sz w:val="32"/>
          <w:szCs w:val="32"/>
        </w:rPr>
      </w:pPr>
      <w:r>
        <w:rPr>
          <w:rFonts w:hint="eastAsia" w:ascii="仿宋_GB2312" w:hAnsi="仿宋_GB2312" w:eastAsia="仿宋_GB2312" w:cs="仿宋_GB2312"/>
          <w:sz w:val="32"/>
          <w:szCs w:val="32"/>
        </w:rPr>
        <w:t>城市区域中小学、幼儿园内部及学生正常出入口（含通道）向外延伸</w:t>
      </w:r>
      <w:r>
        <w:rPr>
          <w:rFonts w:hint="eastAsia" w:ascii="Times New Roman" w:hAnsi="Times New Roman" w:eastAsia="仿宋_GB2312" w:cs="仿宋_GB2312"/>
          <w:sz w:val="32"/>
          <w:szCs w:val="32"/>
        </w:rPr>
        <w:t>100</w:t>
      </w:r>
      <w:r>
        <w:rPr>
          <w:rFonts w:hint="eastAsia" w:ascii="仿宋_GB2312" w:hAnsi="仿宋_GB2312" w:eastAsia="仿宋_GB2312" w:cs="仿宋_GB2312"/>
          <w:sz w:val="32"/>
          <w:szCs w:val="32"/>
        </w:rPr>
        <w:t>米以内，农村区域中小学、幼</w:t>
      </w:r>
      <w:r>
        <w:rPr>
          <w:rFonts w:hint="eastAsia" w:eastAsia="仿宋_GB2312"/>
          <w:sz w:val="32"/>
          <w:szCs w:val="32"/>
        </w:rPr>
        <w:t>儿园</w:t>
      </w:r>
      <w:r>
        <w:rPr>
          <w:rFonts w:hint="eastAsia" w:ascii="仿宋_GB2312" w:hAnsi="仿宋_GB2312" w:eastAsia="仿宋_GB2312" w:cs="仿宋_GB2312"/>
          <w:sz w:val="32"/>
          <w:szCs w:val="32"/>
        </w:rPr>
        <w:t>内部及</w:t>
      </w:r>
      <w:r>
        <w:rPr>
          <w:rFonts w:hint="eastAsia" w:eastAsia="仿宋_GB2312"/>
          <w:sz w:val="32"/>
          <w:szCs w:val="32"/>
        </w:rPr>
        <w:t>学生正常出入口（含通道）</w:t>
      </w:r>
      <w:r>
        <w:rPr>
          <w:rFonts w:hint="eastAsia" w:ascii="仿宋_GB2312" w:hAnsi="仿宋_GB2312" w:eastAsia="仿宋_GB2312" w:cs="仿宋_GB2312"/>
          <w:sz w:val="32"/>
          <w:szCs w:val="32"/>
        </w:rPr>
        <w:t>向外延伸</w:t>
      </w:r>
      <w:r>
        <w:rPr>
          <w:rFonts w:hint="eastAsia" w:ascii="Times New Roman" w:hAnsi="Times New Roman" w:eastAsia="仿宋_GB2312" w:cs="仿宋_GB2312"/>
          <w:sz w:val="32"/>
          <w:szCs w:val="32"/>
        </w:rPr>
        <w:t>50</w:t>
      </w:r>
      <w:r>
        <w:rPr>
          <w:rFonts w:hint="eastAsia" w:eastAsia="仿宋_GB2312"/>
          <w:sz w:val="32"/>
          <w:szCs w:val="32"/>
        </w:rPr>
        <w:t>米以内；</w:t>
      </w:r>
    </w:p>
    <w:p w14:paraId="70FBCE9D">
      <w:pPr>
        <w:keepNext w:val="0"/>
        <w:keepLines w:val="0"/>
        <w:pageBreakBefore w:val="0"/>
        <w:numPr>
          <w:ilvl w:val="0"/>
          <w:numId w:val="3"/>
        </w:numPr>
        <w:kinsoku/>
        <w:wordWrap/>
        <w:overflowPunct/>
        <w:topLinePunct w:val="0"/>
        <w:bidi w:val="0"/>
        <w:adjustRightInd w:val="0"/>
        <w:snapToGrid w:val="0"/>
        <w:spacing w:line="560" w:lineRule="exact"/>
        <w:ind w:firstLine="640" w:firstLineChars="200"/>
        <w:textAlignment w:val="baseline"/>
        <w:rPr>
          <w:rFonts w:eastAsia="仿宋_GB2312"/>
          <w:sz w:val="32"/>
          <w:szCs w:val="32"/>
        </w:rPr>
      </w:pPr>
      <w:r>
        <w:rPr>
          <w:rFonts w:hint="eastAsia" w:eastAsia="仿宋_GB2312"/>
          <w:sz w:val="32"/>
          <w:szCs w:val="32"/>
        </w:rPr>
        <w:t>利用自动售货机或者其他自动售货形式，销售或者变相销售烟草制品的，或者通过信息网络销售烟草专卖品的；</w:t>
      </w:r>
    </w:p>
    <w:p w14:paraId="79B05A8E">
      <w:pPr>
        <w:keepNext w:val="0"/>
        <w:keepLines w:val="0"/>
        <w:pageBreakBefore w:val="0"/>
        <w:numPr>
          <w:ilvl w:val="0"/>
          <w:numId w:val="3"/>
        </w:numPr>
        <w:kinsoku/>
        <w:wordWrap/>
        <w:overflowPunct/>
        <w:topLinePunct w:val="0"/>
        <w:bidi w:val="0"/>
        <w:adjustRightInd w:val="0"/>
        <w:snapToGrid w:val="0"/>
        <w:spacing w:line="560" w:lineRule="exact"/>
        <w:ind w:firstLine="640" w:firstLineChars="200"/>
        <w:textAlignment w:val="baseline"/>
        <w:rPr>
          <w:rFonts w:eastAsia="仿宋_GB2312"/>
          <w:sz w:val="32"/>
          <w:szCs w:val="32"/>
        </w:rPr>
      </w:pPr>
      <w:r>
        <w:rPr>
          <w:rFonts w:hint="eastAsia" w:eastAsia="仿宋_GB2312"/>
          <w:sz w:val="32"/>
          <w:szCs w:val="32"/>
        </w:rPr>
        <w:t>经营业态存在容易诱导未成年人关注、购买、吸食烟草制品或其他不利于未成年人保护的；以及经营业态专业性较强且与烟草制品零售业务没有直接或间接互补营销关系的场所；包括但不限于主要经营母婴产品、</w:t>
      </w:r>
      <w:r>
        <w:rPr>
          <w:rFonts w:hint="eastAsia" w:eastAsia="仿宋_GB2312"/>
          <w:spacing w:val="10"/>
          <w:sz w:val="32"/>
          <w:szCs w:val="32"/>
        </w:rPr>
        <w:t>文化体育、各类培训咨询机构等业态。</w:t>
      </w:r>
    </w:p>
    <w:p w14:paraId="1BD8B7D4">
      <w:pPr>
        <w:keepNext w:val="0"/>
        <w:keepLines w:val="0"/>
        <w:pageBreakBefore w:val="0"/>
        <w:numPr>
          <w:ilvl w:val="0"/>
          <w:numId w:val="3"/>
        </w:numPr>
        <w:kinsoku/>
        <w:wordWrap/>
        <w:overflowPunct/>
        <w:topLinePunct w:val="0"/>
        <w:bidi w:val="0"/>
        <w:adjustRightInd w:val="0"/>
        <w:snapToGrid w:val="0"/>
        <w:spacing w:line="560" w:lineRule="exact"/>
        <w:ind w:firstLine="640" w:firstLineChars="200"/>
        <w:textAlignment w:val="baseline"/>
        <w:rPr>
          <w:rFonts w:eastAsia="仿宋_GB2312"/>
          <w:sz w:val="32"/>
          <w:szCs w:val="32"/>
        </w:rPr>
      </w:pPr>
      <w:r>
        <w:rPr>
          <w:rFonts w:hint="eastAsia" w:eastAsia="仿宋_GB2312"/>
          <w:sz w:val="32"/>
          <w:szCs w:val="32"/>
        </w:rPr>
        <w:t>法律、法规、规章、规范性文件等规定的其他不予许可的情形。</w:t>
      </w:r>
    </w:p>
    <w:p w14:paraId="264FE225">
      <w:pPr>
        <w:keepNext w:val="0"/>
        <w:keepLines w:val="0"/>
        <w:pageBreakBefore w:val="0"/>
        <w:numPr>
          <w:ilvl w:val="2"/>
          <w:numId w:val="1"/>
        </w:numPr>
        <w:kinsoku/>
        <w:wordWrap/>
        <w:overflowPunct/>
        <w:topLinePunct w:val="0"/>
        <w:bidi w:val="0"/>
        <w:adjustRightInd w:val="0"/>
        <w:snapToGrid w:val="0"/>
        <w:spacing w:before="113" w:line="560" w:lineRule="exact"/>
        <w:ind w:firstLine="640" w:firstLineChars="200"/>
        <w:textAlignment w:val="baseline"/>
        <w:rPr>
          <w:rFonts w:eastAsia="仿宋_GB2312"/>
          <w:sz w:val="32"/>
          <w:szCs w:val="32"/>
        </w:rPr>
      </w:pPr>
      <w:r>
        <w:rPr>
          <w:rFonts w:hint="eastAsia" w:ascii="仿宋_GB2312" w:hAnsi="仿宋_GB2312" w:eastAsia="仿宋_GB2312" w:cs="仿宋_GB2312"/>
          <w:sz w:val="32"/>
          <w:szCs w:val="32"/>
        </w:rPr>
        <w:t>因中小学校、幼儿园新建、扩建等客观原因，造成持证人无法在原核定地址经营之日起三十日内，持证人在原单元网格内新址申请新办许可证的，不受所在单元网格规划数限制，零售点间距要求可放宽至本单元网格间距标准的</w:t>
      </w:r>
      <w:r>
        <w:rPr>
          <w:rFonts w:hint="eastAsia" w:ascii="Times New Roman" w:hAnsi="Times New Roman" w:eastAsia="仿宋_GB2312" w:cs="仿宋_GB2312"/>
          <w:sz w:val="32"/>
          <w:szCs w:val="32"/>
        </w:rPr>
        <w:t>30</w:t>
      </w:r>
      <w:r>
        <w:rPr>
          <w:rFonts w:hint="eastAsia" w:ascii="仿宋_GB2312" w:hAnsi="仿宋_GB2312" w:eastAsia="仿宋_GB2312" w:cs="仿宋_GB2312"/>
          <w:sz w:val="32"/>
          <w:szCs w:val="32"/>
        </w:rPr>
        <w:t>%执行；在辖区其它单元网格新址申请新办的，受所在单元网格规划数限制，零售点间距要求按照该单元网格间距标准的</w:t>
      </w:r>
      <w:r>
        <w:rPr>
          <w:rFonts w:hint="eastAsia" w:ascii="Times New Roman" w:hAnsi="Times New Roman" w:eastAsia="仿宋_GB2312" w:cs="仿宋_GB2312"/>
          <w:sz w:val="32"/>
          <w:szCs w:val="32"/>
        </w:rPr>
        <w:t>80</w:t>
      </w:r>
      <w:r>
        <w:rPr>
          <w:rFonts w:hint="eastAsia" w:ascii="仿宋_GB2312" w:hAnsi="仿宋_GB2312" w:eastAsia="仿宋_GB2312" w:cs="仿宋_GB2312"/>
          <w:sz w:val="32"/>
          <w:szCs w:val="32"/>
        </w:rPr>
        <w:t>%执行。</w:t>
      </w:r>
    </w:p>
    <w:p w14:paraId="5C57F2D6">
      <w:pPr>
        <w:keepNext w:val="0"/>
        <w:keepLines w:val="0"/>
        <w:pageBreakBefore w:val="0"/>
        <w:numPr>
          <w:ilvl w:val="2"/>
          <w:numId w:val="1"/>
        </w:numPr>
        <w:kinsoku/>
        <w:wordWrap/>
        <w:overflowPunct/>
        <w:topLinePunct w:val="0"/>
        <w:bidi w:val="0"/>
        <w:adjustRightInd w:val="0"/>
        <w:snapToGrid w:val="0"/>
        <w:spacing w:before="113" w:line="560" w:lineRule="exact"/>
        <w:ind w:firstLine="640" w:firstLineChars="200"/>
        <w:textAlignment w:val="baseline"/>
        <w:rPr>
          <w:rFonts w:eastAsia="仿宋_GB2312"/>
          <w:sz w:val="32"/>
          <w:szCs w:val="32"/>
        </w:rPr>
      </w:pPr>
      <w:r>
        <w:rPr>
          <w:rFonts w:hint="eastAsia" w:ascii="仿宋_GB2312" w:hAnsi="仿宋_GB2312" w:eastAsia="仿宋_GB2312" w:cs="仿宋_GB2312"/>
          <w:sz w:val="32"/>
          <w:szCs w:val="32"/>
        </w:rPr>
        <w:t>因道路规划、城市建设等客观原因，造成持证人无法在原核定地址经营之日起三十日内，持证人在原单元网格内新址变更许可证的，不受所在单元网格规划数限制，零售点间距要求可放宽至本单元网格间距标准的</w:t>
      </w:r>
      <w:r>
        <w:rPr>
          <w:rFonts w:hint="eastAsia" w:ascii="Times New Roman" w:hAnsi="Times New Roman" w:eastAsia="仿宋_GB2312" w:cs="仿宋_GB2312"/>
          <w:sz w:val="32"/>
          <w:szCs w:val="32"/>
        </w:rPr>
        <w:t>30</w:t>
      </w:r>
      <w:r>
        <w:rPr>
          <w:rFonts w:hint="eastAsia" w:ascii="仿宋_GB2312" w:hAnsi="仿宋_GB2312" w:eastAsia="仿宋_GB2312" w:cs="仿宋_GB2312"/>
          <w:sz w:val="32"/>
          <w:szCs w:val="32"/>
        </w:rPr>
        <w:t>%执行；在辖区其它单元网格新址变更的，受所在单元网格规划数限制，零售点间距要求按照该单元网格间距标准的</w:t>
      </w:r>
      <w:r>
        <w:rPr>
          <w:rFonts w:hint="eastAsia" w:ascii="Times New Roman" w:hAnsi="Times New Roman" w:eastAsia="仿宋_GB2312" w:cs="仿宋_GB2312"/>
          <w:sz w:val="32"/>
          <w:szCs w:val="32"/>
        </w:rPr>
        <w:t>80</w:t>
      </w:r>
      <w:r>
        <w:rPr>
          <w:rFonts w:hint="eastAsia" w:ascii="仿宋_GB2312" w:hAnsi="仿宋_GB2312" w:eastAsia="仿宋_GB2312" w:cs="仿宋_GB2312"/>
          <w:sz w:val="32"/>
          <w:szCs w:val="32"/>
        </w:rPr>
        <w:t>%执行。</w:t>
      </w:r>
    </w:p>
    <w:p w14:paraId="68F7CAE8">
      <w:pPr>
        <w:keepNext w:val="0"/>
        <w:keepLines w:val="0"/>
        <w:pageBreakBefore w:val="0"/>
        <w:numPr>
          <w:ilvl w:val="2"/>
          <w:numId w:val="1"/>
        </w:numPr>
        <w:kinsoku/>
        <w:wordWrap/>
        <w:overflowPunct/>
        <w:topLinePunct w:val="0"/>
        <w:bidi w:val="0"/>
        <w:adjustRightInd w:val="0"/>
        <w:snapToGrid w:val="0"/>
        <w:spacing w:before="113" w:line="560" w:lineRule="exact"/>
        <w:ind w:firstLine="640" w:firstLineChars="200"/>
        <w:textAlignment w:val="baseline"/>
        <w:rPr>
          <w:rFonts w:eastAsia="仿宋_GB2312"/>
          <w:sz w:val="32"/>
          <w:szCs w:val="32"/>
        </w:rPr>
      </w:pPr>
      <w:bookmarkStart w:id="5" w:name="OLE_LINK2"/>
      <w:r>
        <w:rPr>
          <w:rFonts w:hint="eastAsia" w:ascii="仿宋_GB2312" w:hAnsi="仿宋_GB2312" w:eastAsia="仿宋_GB2312" w:cs="仿宋_GB2312"/>
          <w:sz w:val="32"/>
          <w:szCs w:val="32"/>
        </w:rPr>
        <w:t>在原发证机关辖区范围内连续经营五年以上，且最近连续三年无涉烟违法违规记录的持证户，因租金上涨、租赁期满等客观原因不能在原核定地址经营，经营主体未发生改变，在办理许可证歇业后六个月内，持证人申请在原单元网格新址上新办零售许可证的，不受所在单元网格规划数限制，零售点间距要求按照该单元网格间距标准的</w:t>
      </w:r>
      <w:r>
        <w:rPr>
          <w:rFonts w:hint="eastAsia" w:ascii="Times New Roman" w:hAnsi="Times New Roman" w:eastAsia="仿宋_GB2312" w:cs="仿宋_GB2312"/>
          <w:sz w:val="32"/>
          <w:szCs w:val="32"/>
        </w:rPr>
        <w:t>30</w:t>
      </w:r>
      <w:r>
        <w:rPr>
          <w:rFonts w:hint="eastAsia" w:ascii="仿宋_GB2312" w:hAnsi="仿宋_GB2312" w:eastAsia="仿宋_GB2312" w:cs="仿宋_GB2312"/>
          <w:sz w:val="32"/>
          <w:szCs w:val="32"/>
        </w:rPr>
        <w:t>%执行。</w:t>
      </w:r>
      <w:bookmarkEnd w:id="5"/>
    </w:p>
    <w:p w14:paraId="32C8ACC5">
      <w:pPr>
        <w:keepNext w:val="0"/>
        <w:keepLines w:val="0"/>
        <w:pageBreakBefore w:val="0"/>
        <w:numPr>
          <w:ilvl w:val="2"/>
          <w:numId w:val="1"/>
        </w:numPr>
        <w:kinsoku/>
        <w:wordWrap/>
        <w:overflowPunct/>
        <w:topLinePunct w:val="0"/>
        <w:bidi w:val="0"/>
        <w:adjustRightInd w:val="0"/>
        <w:snapToGrid w:val="0"/>
        <w:spacing w:before="113" w:line="560" w:lineRule="exact"/>
        <w:ind w:firstLine="640" w:firstLineChars="200"/>
        <w:textAlignment w:val="baseline"/>
        <w:rPr>
          <w:rFonts w:eastAsia="仿宋_GB2312"/>
          <w:sz w:val="32"/>
          <w:szCs w:val="32"/>
        </w:rPr>
      </w:pPr>
      <w:r>
        <w:rPr>
          <w:rFonts w:hint="eastAsia" w:eastAsia="仿宋_GB2312"/>
          <w:sz w:val="32"/>
          <w:szCs w:val="32"/>
        </w:rPr>
        <w:t>满足以下条件之一且具有完全民事行为能力的特殊群体，申请办理零售许可证的，受所在单元网格规划数限制，</w:t>
      </w:r>
      <w:r>
        <w:rPr>
          <w:rFonts w:hint="eastAsia" w:ascii="仿宋_GB2312" w:hAnsi="仿宋_GB2312" w:eastAsia="仿宋_GB2312" w:cs="仿宋_GB2312"/>
          <w:sz w:val="32"/>
          <w:szCs w:val="32"/>
        </w:rPr>
        <w:t>零售点间距要求</w:t>
      </w:r>
      <w:r>
        <w:rPr>
          <w:rFonts w:hint="eastAsia" w:eastAsia="仿宋_GB2312"/>
          <w:sz w:val="32"/>
          <w:szCs w:val="32"/>
        </w:rPr>
        <w:t>按照</w:t>
      </w:r>
      <w:r>
        <w:rPr>
          <w:rFonts w:hint="eastAsia" w:ascii="仿宋_GB2312" w:hAnsi="仿宋_GB2312" w:eastAsia="仿宋_GB2312" w:cs="仿宋_GB2312"/>
          <w:sz w:val="32"/>
          <w:szCs w:val="32"/>
        </w:rPr>
        <w:t>单元网格间距标准的</w:t>
      </w:r>
      <w:r>
        <w:rPr>
          <w:rFonts w:hint="eastAsia" w:ascii="Times New Roman" w:hAnsi="Times New Roman" w:eastAsia="仿宋_GB2312" w:cs="仿宋_GB2312"/>
          <w:sz w:val="32"/>
          <w:szCs w:val="32"/>
        </w:rPr>
        <w:t>80</w:t>
      </w:r>
      <w:r>
        <w:rPr>
          <w:rFonts w:hint="eastAsia" w:ascii="仿宋_GB2312" w:hAnsi="仿宋_GB2312" w:eastAsia="仿宋_GB2312" w:cs="仿宋_GB2312"/>
          <w:sz w:val="32"/>
          <w:szCs w:val="32"/>
        </w:rPr>
        <w:t>%执行</w:t>
      </w:r>
      <w:r>
        <w:rPr>
          <w:rFonts w:hint="eastAsia" w:eastAsia="仿宋_GB2312"/>
          <w:sz w:val="32"/>
          <w:szCs w:val="32"/>
        </w:rPr>
        <w:t>：</w:t>
      </w:r>
    </w:p>
    <w:p w14:paraId="27F53C44">
      <w:pPr>
        <w:keepNext w:val="0"/>
        <w:keepLines w:val="0"/>
        <w:pageBreakBefore w:val="0"/>
        <w:kinsoku/>
        <w:wordWrap/>
        <w:overflowPunct/>
        <w:topLinePunct w:val="0"/>
        <w:bidi w:val="0"/>
        <w:spacing w:before="38" w:line="560" w:lineRule="exact"/>
        <w:ind w:left="25" w:right="16"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烈士遗属、因公牺牲军人</w:t>
      </w:r>
      <w:bookmarkStart w:id="6" w:name="OLE_LINK4"/>
      <w:r>
        <w:rPr>
          <w:rFonts w:hint="eastAsia" w:ascii="仿宋_GB2312" w:hAnsi="仿宋_GB2312" w:eastAsia="仿宋_GB2312" w:cs="仿宋_GB2312"/>
          <w:sz w:val="32"/>
          <w:szCs w:val="32"/>
        </w:rPr>
        <w:t>遗</w:t>
      </w:r>
      <w:bookmarkEnd w:id="6"/>
      <w:r>
        <w:rPr>
          <w:rFonts w:hint="eastAsia" w:ascii="仿宋_GB2312" w:hAnsi="仿宋_GB2312" w:eastAsia="仿宋_GB2312" w:cs="仿宋_GB2312"/>
          <w:sz w:val="32"/>
          <w:szCs w:val="32"/>
        </w:rPr>
        <w:t>属、病故军人遗属和见义勇为牺牲人员遗属</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本条中的遗属包括：父母、子女、配偶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14:paraId="56BE9E17">
      <w:pPr>
        <w:keepNext w:val="0"/>
        <w:keepLines w:val="0"/>
        <w:pageBreakBefore w:val="0"/>
        <w:kinsoku/>
        <w:wordWrap/>
        <w:overflowPunct/>
        <w:topLinePunct w:val="0"/>
        <w:bidi w:val="0"/>
        <w:spacing w:before="38" w:line="560" w:lineRule="exact"/>
        <w:ind w:right="16"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听力、言语、肢体二级及以上具有从事烟草专卖零售经营业务相应能力的残疾人本人。</w:t>
      </w:r>
    </w:p>
    <w:p w14:paraId="22145268">
      <w:pPr>
        <w:keepNext w:val="0"/>
        <w:keepLines w:val="0"/>
        <w:pageBreakBefore w:val="0"/>
        <w:kinsoku/>
        <w:wordWrap/>
        <w:overflowPunct/>
        <w:topLinePunct w:val="0"/>
        <w:bidi w:val="0"/>
        <w:spacing w:before="38" w:line="560" w:lineRule="exact"/>
        <w:ind w:left="25" w:right="16"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同一特殊群体申请人在云南省内仅限适用一次放宽政策。</w:t>
      </w:r>
    </w:p>
    <w:p w14:paraId="73F7B8C1">
      <w:pPr>
        <w:pStyle w:val="4"/>
        <w:keepNext w:val="0"/>
        <w:keepLines w:val="0"/>
        <w:pageBreakBefore w:val="0"/>
        <w:kinsoku/>
        <w:wordWrap/>
        <w:overflowPunct/>
        <w:topLinePunct w:val="0"/>
        <w:bidi w:val="0"/>
        <w:adjustRightInd w:val="0"/>
        <w:snapToGrid w:val="0"/>
        <w:spacing w:after="0" w:line="560" w:lineRule="exact"/>
        <w:ind w:firstLine="680" w:firstLineChars="200"/>
        <w:jc w:val="center"/>
        <w:rPr>
          <w:rFonts w:hint="eastAsia" w:ascii="黑体" w:hAnsi="黑体" w:eastAsia="黑体"/>
          <w:spacing w:val="10"/>
          <w:sz w:val="32"/>
          <w:szCs w:val="32"/>
        </w:rPr>
      </w:pPr>
      <w:r>
        <w:rPr>
          <w:rFonts w:hint="eastAsia" w:ascii="黑体" w:hAnsi="黑体" w:eastAsia="黑体"/>
          <w:spacing w:val="10"/>
          <w:sz w:val="32"/>
          <w:szCs w:val="32"/>
        </w:rPr>
        <w:t>第三章 雪茄烟专营零售点布局标准</w:t>
      </w:r>
    </w:p>
    <w:p w14:paraId="08AE386B">
      <w:pPr>
        <w:keepNext w:val="0"/>
        <w:keepLines w:val="0"/>
        <w:pageBreakBefore w:val="0"/>
        <w:numPr>
          <w:ilvl w:val="2"/>
          <w:numId w:val="1"/>
        </w:numPr>
        <w:kinsoku/>
        <w:wordWrap/>
        <w:overflowPunct/>
        <w:topLinePunct w:val="0"/>
        <w:bidi w:val="0"/>
        <w:adjustRightInd w:val="0"/>
        <w:snapToGrid w:val="0"/>
        <w:spacing w:before="113"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雪茄烟专营零售点实行“一址一证”管理，受辖区雪茄烟专营零售点规划数量限制，不受零售点间距限制，但不得存在本规划第十二条明确的</w:t>
      </w:r>
      <w:r>
        <w:rPr>
          <w:rFonts w:hint="eastAsia" w:eastAsia="仿宋_GB2312"/>
          <w:sz w:val="32"/>
          <w:szCs w:val="32"/>
        </w:rPr>
        <w:t>不予设置零售点的情形</w:t>
      </w:r>
      <w:r>
        <w:rPr>
          <w:rFonts w:hint="eastAsia" w:ascii="仿宋_GB2312" w:hAnsi="仿宋_GB2312" w:eastAsia="仿宋_GB2312" w:cs="仿宋_GB2312"/>
          <w:sz w:val="32"/>
          <w:szCs w:val="32"/>
        </w:rPr>
        <w:t>。</w:t>
      </w:r>
    </w:p>
    <w:p w14:paraId="5FA5638F">
      <w:pPr>
        <w:keepNext w:val="0"/>
        <w:keepLines w:val="0"/>
        <w:pageBreakBefore w:val="0"/>
        <w:numPr>
          <w:ilvl w:val="2"/>
          <w:numId w:val="1"/>
        </w:numPr>
        <w:kinsoku/>
        <w:wordWrap/>
        <w:overflowPunct/>
        <w:topLinePunct w:val="0"/>
        <w:bidi w:val="0"/>
        <w:adjustRightInd w:val="0"/>
        <w:snapToGrid w:val="0"/>
        <w:spacing w:before="113"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雪茄烟专营零售点不作为其它烟草制品零售点、电子烟零售点设置过程中店间距离测量的参照基准。</w:t>
      </w:r>
    </w:p>
    <w:p w14:paraId="4D7F2EEC">
      <w:pPr>
        <w:keepNext w:val="0"/>
        <w:keepLines w:val="0"/>
        <w:pageBreakBefore w:val="0"/>
        <w:numPr>
          <w:ilvl w:val="2"/>
          <w:numId w:val="1"/>
        </w:numPr>
        <w:kinsoku/>
        <w:wordWrap/>
        <w:overflowPunct/>
        <w:topLinePunct w:val="0"/>
        <w:bidi w:val="0"/>
        <w:adjustRightInd w:val="0"/>
        <w:snapToGrid w:val="0"/>
        <w:spacing w:before="113"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取得雪茄烟专营零售资格的被许可主体，如需变更其烟草专卖零售许可证经营范围的，应符合相应烟草制品零售点合理布局的规定。</w:t>
      </w:r>
    </w:p>
    <w:p w14:paraId="4AC8AD1B">
      <w:pPr>
        <w:pStyle w:val="3"/>
        <w:keepNext w:val="0"/>
        <w:keepLines w:val="0"/>
        <w:pageBreakBefore w:val="0"/>
        <w:kinsoku/>
        <w:wordWrap/>
        <w:overflowPunct/>
        <w:topLinePunct w:val="0"/>
        <w:bidi w:val="0"/>
        <w:adjustRightInd w:val="0"/>
        <w:snapToGrid w:val="0"/>
        <w:spacing w:line="560" w:lineRule="exact"/>
        <w:jc w:val="center"/>
        <w:rPr>
          <w:rFonts w:hint="eastAsia" w:eastAsia="黑体"/>
          <w:sz w:val="32"/>
          <w:szCs w:val="32"/>
        </w:rPr>
      </w:pPr>
      <w:r>
        <w:rPr>
          <w:rFonts w:hint="eastAsia" w:eastAsia="黑体"/>
          <w:sz w:val="32"/>
          <w:szCs w:val="32"/>
        </w:rPr>
        <w:t>第四章</w:t>
      </w:r>
      <w:r>
        <w:rPr>
          <w:rFonts w:eastAsia="黑体"/>
          <w:sz w:val="32"/>
          <w:szCs w:val="32"/>
        </w:rPr>
        <w:t xml:space="preserve">  </w:t>
      </w:r>
      <w:r>
        <w:rPr>
          <w:rFonts w:hint="eastAsia" w:eastAsia="黑体"/>
          <w:sz w:val="32"/>
          <w:szCs w:val="32"/>
        </w:rPr>
        <w:t>附</w:t>
      </w:r>
      <w:r>
        <w:rPr>
          <w:rFonts w:eastAsia="黑体"/>
          <w:sz w:val="32"/>
          <w:szCs w:val="32"/>
        </w:rPr>
        <w:t xml:space="preserve"> </w:t>
      </w:r>
      <w:r>
        <w:rPr>
          <w:rFonts w:hint="eastAsia" w:eastAsia="黑体"/>
          <w:sz w:val="32"/>
          <w:szCs w:val="32"/>
        </w:rPr>
        <w:t>则</w:t>
      </w:r>
    </w:p>
    <w:p w14:paraId="7C3C3C43">
      <w:pPr>
        <w:keepNext w:val="0"/>
        <w:keepLines w:val="0"/>
        <w:pageBreakBefore w:val="0"/>
        <w:numPr>
          <w:ilvl w:val="2"/>
          <w:numId w:val="1"/>
        </w:numPr>
        <w:kinsoku/>
        <w:wordWrap/>
        <w:overflowPunct/>
        <w:topLinePunct w:val="0"/>
        <w:bidi w:val="0"/>
        <w:adjustRightInd w:val="0"/>
        <w:snapToGrid w:val="0"/>
        <w:spacing w:before="113" w:line="560" w:lineRule="exact"/>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烟草专卖零售许可证的发证范围以属地管辖和指定管辖相结合为原则，不受政府各类行政功能区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如经开区、高新区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的划分限制。持证人因道路规划、城市建设等客观原因无法在原核定经营地址经营，申请变更到原发证机关辖区内其他地址经营的，无论新址是否跨政府划定的各类功能区域，均应依法受理。</w:t>
      </w:r>
    </w:p>
    <w:p w14:paraId="059FA38A">
      <w:pPr>
        <w:keepNext w:val="0"/>
        <w:keepLines w:val="0"/>
        <w:pageBreakBefore w:val="0"/>
        <w:numPr>
          <w:ilvl w:val="2"/>
          <w:numId w:val="1"/>
        </w:numPr>
        <w:kinsoku/>
        <w:wordWrap/>
        <w:overflowPunct/>
        <w:topLinePunct w:val="0"/>
        <w:bidi w:val="0"/>
        <w:adjustRightInd w:val="0"/>
        <w:snapToGrid w:val="0"/>
        <w:spacing w:before="113"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本规划实施后，如遇相关法律、法规、规章及规范性文件调整的，从其规定，并在公布后实施。 </w:t>
      </w:r>
    </w:p>
    <w:p w14:paraId="1C89B92A">
      <w:pPr>
        <w:keepNext w:val="0"/>
        <w:keepLines w:val="0"/>
        <w:pageBreakBefore w:val="0"/>
        <w:numPr>
          <w:ilvl w:val="2"/>
          <w:numId w:val="1"/>
        </w:numPr>
        <w:kinsoku/>
        <w:wordWrap/>
        <w:overflowPunct/>
        <w:topLinePunct w:val="0"/>
        <w:bidi w:val="0"/>
        <w:adjustRightInd w:val="0"/>
        <w:snapToGrid w:val="0"/>
        <w:spacing w:before="113" w:line="560" w:lineRule="exact"/>
        <w:ind w:firstLine="640" w:firstLineChars="200"/>
        <w:textAlignment w:val="baseline"/>
        <w:rPr>
          <w:rFonts w:hint="eastAsia" w:eastAsia="仿宋_GB2312"/>
          <w:sz w:val="32"/>
          <w:szCs w:val="32"/>
        </w:rPr>
      </w:pPr>
      <w:r>
        <w:rPr>
          <w:rFonts w:hint="eastAsia" w:eastAsia="仿宋_GB2312"/>
          <w:sz w:val="32"/>
          <w:szCs w:val="32"/>
        </w:rPr>
        <w:t>对暂不符合理布局规划的申请人，实行排队轮候制度，详见《云南省昆明市禄劝县烟草专卖局烟草制品零售点排队轮候制度》（附件</w:t>
      </w:r>
      <w:r>
        <w:rPr>
          <w:rFonts w:ascii="Times New Roman" w:hAnsi="Times New Roman" w:eastAsia="仿宋_GB2312"/>
          <w:sz w:val="32"/>
          <w:szCs w:val="32"/>
        </w:rPr>
        <w:t>5</w:t>
      </w:r>
      <w:r>
        <w:rPr>
          <w:rFonts w:hint="eastAsia" w:eastAsia="仿宋_GB2312"/>
          <w:sz w:val="32"/>
          <w:szCs w:val="32"/>
        </w:rPr>
        <w:t>）。</w:t>
      </w:r>
    </w:p>
    <w:p w14:paraId="75879104">
      <w:pPr>
        <w:keepNext w:val="0"/>
        <w:keepLines w:val="0"/>
        <w:pageBreakBefore w:val="0"/>
        <w:kinsoku/>
        <w:wordWrap/>
        <w:overflowPunct/>
        <w:topLinePunct w:val="0"/>
        <w:bidi w:val="0"/>
        <w:adjustRightInd w:val="0"/>
        <w:snapToGrid w:val="0"/>
        <w:spacing w:before="113" w:line="560" w:lineRule="exact"/>
        <w:ind w:firstLine="640" w:firstLineChars="200"/>
        <w:textAlignment w:val="baseline"/>
        <w:rPr>
          <w:rFonts w:eastAsia="仿宋_GB2312"/>
          <w:sz w:val="32"/>
          <w:szCs w:val="32"/>
        </w:rPr>
      </w:pPr>
      <w:r>
        <w:rPr>
          <w:rFonts w:hint="eastAsia" w:eastAsia="仿宋_GB2312"/>
          <w:sz w:val="32"/>
          <w:szCs w:val="32"/>
        </w:rPr>
        <w:t>符合本规划第十三条第一款、第十四条第一款和第十五条规定情形且不受所在单元网格规划数限制的，申请不实行排队轮候制度。</w:t>
      </w:r>
    </w:p>
    <w:p w14:paraId="195E7CD3">
      <w:pPr>
        <w:keepNext w:val="0"/>
        <w:keepLines w:val="0"/>
        <w:pageBreakBefore w:val="0"/>
        <w:numPr>
          <w:ilvl w:val="2"/>
          <w:numId w:val="1"/>
        </w:numPr>
        <w:kinsoku/>
        <w:wordWrap/>
        <w:overflowPunct/>
        <w:topLinePunct w:val="0"/>
        <w:bidi w:val="0"/>
        <w:snapToGrid w:val="0"/>
        <w:spacing w:line="560" w:lineRule="exact"/>
        <w:ind w:firstLine="680" w:firstLineChars="200"/>
        <w:rPr>
          <w:rFonts w:eastAsia="仿宋_GB2312"/>
          <w:sz w:val="32"/>
          <w:szCs w:val="32"/>
        </w:rPr>
      </w:pPr>
      <w:r>
        <w:rPr>
          <w:rFonts w:hint="eastAsia" w:eastAsia="仿宋_GB2312"/>
          <w:spacing w:val="10"/>
          <w:sz w:val="32"/>
          <w:szCs w:val="32"/>
        </w:rPr>
        <w:t>本县</w:t>
      </w:r>
      <w:r>
        <w:rPr>
          <w:rFonts w:hint="eastAsia" w:eastAsia="仿宋_GB2312"/>
          <w:sz w:val="32"/>
          <w:szCs w:val="32"/>
        </w:rPr>
        <w:t>零售点合理布局实行定期评价、动态管理。每季度根据本地经济发展、城乡建设、市场形势等变化情况进行调整，并经公示后实施。动态调整规则按照《云南省昆明市禄劝县烟草制品零售点合理布局规划数动态调整管理制度》（附件</w:t>
      </w:r>
      <w:r>
        <w:rPr>
          <w:rFonts w:ascii="Times New Roman" w:hAnsi="Times New Roman" w:eastAsia="仿宋_GB2312"/>
          <w:sz w:val="32"/>
          <w:szCs w:val="32"/>
        </w:rPr>
        <w:t>6</w:t>
      </w:r>
      <w:r>
        <w:rPr>
          <w:rFonts w:hint="eastAsia" w:eastAsia="仿宋_GB2312"/>
          <w:sz w:val="32"/>
          <w:szCs w:val="32"/>
        </w:rPr>
        <w:t>）执行。</w:t>
      </w:r>
    </w:p>
    <w:p w14:paraId="1F5B13F1">
      <w:pPr>
        <w:keepNext w:val="0"/>
        <w:keepLines w:val="0"/>
        <w:pageBreakBefore w:val="0"/>
        <w:numPr>
          <w:ilvl w:val="2"/>
          <w:numId w:val="1"/>
        </w:numPr>
        <w:kinsoku/>
        <w:wordWrap/>
        <w:overflowPunct/>
        <w:topLinePunct w:val="0"/>
        <w:bidi w:val="0"/>
        <w:adjustRightInd w:val="0"/>
        <w:snapToGrid w:val="0"/>
        <w:spacing w:line="560" w:lineRule="exact"/>
        <w:ind w:firstLine="640" w:firstLineChars="200"/>
        <w:textAlignment w:val="baseline"/>
        <w:rPr>
          <w:rFonts w:eastAsia="仿宋_GB2312"/>
          <w:sz w:val="32"/>
          <w:szCs w:val="32"/>
        </w:rPr>
      </w:pPr>
      <w:r>
        <w:rPr>
          <w:rFonts w:hint="eastAsia" w:eastAsia="仿宋_GB2312"/>
          <w:sz w:val="32"/>
          <w:szCs w:val="32"/>
        </w:rPr>
        <w:t>本规划中所称“中小学校”是指普通中小学校、特殊教育学校、中等职业学校、专门学校等。“幼儿园”是指经教育行政主管部门依法批准的公办和民办全日制、寄宿制、半日制幼儿园及小学附设的学前班、幼儿班等。各类培训教育机构、托管班、早教班等除外。</w:t>
      </w:r>
    </w:p>
    <w:p w14:paraId="2DB7B6EF">
      <w:pPr>
        <w:keepNext w:val="0"/>
        <w:keepLines w:val="0"/>
        <w:pageBreakBefore w:val="0"/>
        <w:numPr>
          <w:ilvl w:val="2"/>
          <w:numId w:val="1"/>
        </w:numPr>
        <w:kinsoku/>
        <w:wordWrap/>
        <w:overflowPunct/>
        <w:topLinePunct w:val="0"/>
        <w:bidi w:val="0"/>
        <w:adjustRightInd w:val="0"/>
        <w:snapToGrid w:val="0"/>
        <w:spacing w:line="560" w:lineRule="exact"/>
        <w:ind w:firstLine="640" w:firstLineChars="200"/>
        <w:textAlignment w:val="baseline"/>
        <w:rPr>
          <w:rFonts w:ascii="仿宋_GB2312" w:hAnsi="仿宋_GB2312" w:eastAsia="仿宋_GB2312"/>
          <w:sz w:val="32"/>
          <w:szCs w:val="32"/>
        </w:rPr>
      </w:pPr>
      <w:r>
        <w:rPr>
          <w:rFonts w:hint="eastAsia" w:eastAsia="仿宋_GB2312"/>
          <w:sz w:val="32"/>
          <w:szCs w:val="32"/>
        </w:rPr>
        <w:t>城市区域是指位于主城区（</w:t>
      </w:r>
      <w:bookmarkStart w:id="7" w:name="OLE_LINK3"/>
      <w:bookmarkStart w:id="8" w:name="OLE_LINK1"/>
      <w:r>
        <w:rPr>
          <w:rFonts w:hint="eastAsia" w:eastAsia="仿宋_GB2312"/>
          <w:sz w:val="32"/>
          <w:szCs w:val="32"/>
        </w:rPr>
        <w:t>屏山街道办事处：</w:t>
      </w:r>
      <w:r>
        <w:rPr>
          <w:rFonts w:hint="eastAsia" w:ascii="仿宋_GB2312" w:hAnsi="仿宋_GB2312" w:eastAsia="仿宋_GB2312"/>
          <w:sz w:val="32"/>
          <w:szCs w:val="32"/>
        </w:rPr>
        <w:t>北街社区、南街社区、旧县社区、咪油社区</w:t>
      </w:r>
      <w:bookmarkEnd w:id="7"/>
      <w:bookmarkEnd w:id="8"/>
      <w:r>
        <w:rPr>
          <w:rFonts w:hint="eastAsia" w:ascii="仿宋_GB2312" w:hAnsi="仿宋_GB2312" w:eastAsia="仿宋_GB2312"/>
          <w:sz w:val="32"/>
          <w:szCs w:val="32"/>
        </w:rPr>
        <w:t>）；</w:t>
      </w:r>
      <w:r>
        <w:rPr>
          <w:rFonts w:hint="eastAsia" w:eastAsia="仿宋_GB2312"/>
          <w:sz w:val="32"/>
          <w:szCs w:val="32"/>
        </w:rPr>
        <w:t>农村区域（除禄劝县屏山街道办事处</w:t>
      </w:r>
      <w:r>
        <w:rPr>
          <w:rFonts w:hint="eastAsia" w:ascii="仿宋_GB2312" w:hAnsi="仿宋_GB2312" w:eastAsia="仿宋_GB2312"/>
          <w:sz w:val="32"/>
          <w:szCs w:val="32"/>
        </w:rPr>
        <w:t>北街社区、南街社区、旧县社区、咪油社区</w:t>
      </w:r>
      <w:r>
        <w:rPr>
          <w:rFonts w:hint="eastAsia" w:eastAsia="仿宋_GB2312"/>
          <w:sz w:val="32"/>
          <w:szCs w:val="32"/>
        </w:rPr>
        <w:t>以外的其他区域。）</w:t>
      </w:r>
    </w:p>
    <w:p w14:paraId="6DFD44DC">
      <w:pPr>
        <w:keepNext w:val="0"/>
        <w:keepLines w:val="0"/>
        <w:pageBreakBefore w:val="0"/>
        <w:numPr>
          <w:ilvl w:val="2"/>
          <w:numId w:val="1"/>
        </w:numPr>
        <w:kinsoku/>
        <w:wordWrap/>
        <w:overflowPunct/>
        <w:topLinePunct w:val="0"/>
        <w:bidi w:val="0"/>
        <w:adjustRightInd w:val="0"/>
        <w:snapToGrid w:val="0"/>
        <w:spacing w:line="560" w:lineRule="exact"/>
        <w:ind w:firstLine="640" w:firstLineChars="200"/>
        <w:textAlignment w:val="baseline"/>
        <w:rPr>
          <w:rFonts w:hint="eastAsia" w:eastAsia="仿宋_GB2312"/>
          <w:sz w:val="32"/>
          <w:szCs w:val="32"/>
        </w:rPr>
      </w:pPr>
      <w:r>
        <w:rPr>
          <w:rFonts w:hint="eastAsia" w:eastAsia="仿宋_GB2312"/>
          <w:sz w:val="32"/>
          <w:szCs w:val="32"/>
        </w:rPr>
        <w:t>本规划中“以上”、“不低于”、“不超过”、“以内”等，如无特殊说明均包括本数。</w:t>
      </w:r>
    </w:p>
    <w:p w14:paraId="5A438C24">
      <w:pPr>
        <w:keepNext w:val="0"/>
        <w:keepLines w:val="0"/>
        <w:pageBreakBefore w:val="0"/>
        <w:numPr>
          <w:ilvl w:val="2"/>
          <w:numId w:val="1"/>
        </w:numPr>
        <w:kinsoku/>
        <w:wordWrap/>
        <w:overflowPunct/>
        <w:topLinePunct w:val="0"/>
        <w:bidi w:val="0"/>
        <w:adjustRightInd w:val="0"/>
        <w:snapToGrid w:val="0"/>
        <w:spacing w:line="560" w:lineRule="exact"/>
        <w:ind w:firstLine="640" w:firstLineChars="200"/>
        <w:textAlignment w:val="baseline"/>
        <w:rPr>
          <w:rFonts w:eastAsia="仿宋_GB2312"/>
          <w:sz w:val="32"/>
          <w:szCs w:val="32"/>
        </w:rPr>
      </w:pPr>
      <w:r>
        <w:rPr>
          <w:rFonts w:hint="eastAsia" w:eastAsia="仿宋_GB2312"/>
          <w:sz w:val="32"/>
          <w:szCs w:val="32"/>
        </w:rPr>
        <w:t>本规划中按照年、月、日计算期间的，开始的当日不计入，自下一日开始计算，均以工作日计算，不含法定节假日。</w:t>
      </w:r>
    </w:p>
    <w:p w14:paraId="4F4DC4BE">
      <w:pPr>
        <w:keepNext w:val="0"/>
        <w:keepLines w:val="0"/>
        <w:pageBreakBefore w:val="0"/>
        <w:numPr>
          <w:ilvl w:val="2"/>
          <w:numId w:val="1"/>
        </w:numPr>
        <w:kinsoku/>
        <w:wordWrap/>
        <w:overflowPunct/>
        <w:topLinePunct w:val="0"/>
        <w:bidi w:val="0"/>
        <w:adjustRightInd w:val="0"/>
        <w:snapToGrid w:val="0"/>
        <w:spacing w:line="560" w:lineRule="exact"/>
        <w:ind w:firstLine="640" w:firstLineChars="200"/>
        <w:textAlignment w:val="baseline"/>
        <w:rPr>
          <w:rFonts w:eastAsia="仿宋_GB2312"/>
          <w:sz w:val="32"/>
          <w:szCs w:val="32"/>
        </w:rPr>
      </w:pPr>
      <w:r>
        <w:rPr>
          <w:rFonts w:hint="eastAsia" w:eastAsia="仿宋_GB2312"/>
          <w:sz w:val="32"/>
          <w:szCs w:val="32"/>
        </w:rPr>
        <w:t>本规划由昆明市禄劝县烟草专卖局负责解释。</w:t>
      </w:r>
    </w:p>
    <w:p w14:paraId="68B22DA9">
      <w:pPr>
        <w:keepNext w:val="0"/>
        <w:keepLines w:val="0"/>
        <w:pageBreakBefore w:val="0"/>
        <w:numPr>
          <w:ilvl w:val="2"/>
          <w:numId w:val="1"/>
        </w:numPr>
        <w:kinsoku/>
        <w:wordWrap/>
        <w:overflowPunct/>
        <w:topLinePunct w:val="0"/>
        <w:bidi w:val="0"/>
        <w:adjustRightInd w:val="0"/>
        <w:snapToGrid w:val="0"/>
        <w:spacing w:line="560" w:lineRule="exact"/>
        <w:ind w:firstLine="640" w:firstLineChars="200"/>
        <w:textAlignment w:val="baseline"/>
        <w:rPr>
          <w:rFonts w:ascii="仿宋_GB2312" w:hAnsi="仿宋_GB2312" w:eastAsia="仿宋_GB2312" w:cs="仿宋_GB2312"/>
          <w:sz w:val="32"/>
          <w:szCs w:val="32"/>
        </w:rPr>
      </w:pPr>
      <w:r>
        <w:rPr>
          <w:rFonts w:hint="eastAsia" w:eastAsia="仿宋_GB2312"/>
          <w:sz w:val="32"/>
          <w:szCs w:val="32"/>
        </w:rPr>
        <w:t>本规划于公布之日起三十日后施行，</w:t>
      </w:r>
      <w:r>
        <w:rPr>
          <w:rFonts w:ascii="Times New Roman" w:hAnsi="Times New Roman" w:eastAsia="仿宋_GB2312"/>
          <w:sz w:val="32"/>
          <w:szCs w:val="32"/>
        </w:rPr>
        <w:t>2025</w:t>
      </w:r>
      <w:r>
        <w:rPr>
          <w:rFonts w:hint="eastAsia" w:eastAsia="仿宋_GB2312"/>
          <w:sz w:val="32"/>
          <w:szCs w:val="32"/>
        </w:rPr>
        <w:t>年</w:t>
      </w:r>
      <w:r>
        <w:rPr>
          <w:rFonts w:ascii="Times New Roman" w:hAnsi="Times New Roman" w:eastAsia="仿宋_GB2312"/>
          <w:sz w:val="32"/>
          <w:szCs w:val="32"/>
        </w:rPr>
        <w:t>10</w:t>
      </w:r>
      <w:r>
        <w:rPr>
          <w:rFonts w:hint="eastAsia" w:eastAsia="仿宋_GB2312"/>
          <w:sz w:val="32"/>
          <w:szCs w:val="32"/>
        </w:rPr>
        <w:t>月</w:t>
      </w:r>
      <w:r>
        <w:rPr>
          <w:rFonts w:ascii="Times New Roman" w:hAnsi="Times New Roman" w:eastAsia="仿宋_GB2312"/>
          <w:sz w:val="32"/>
          <w:szCs w:val="32"/>
        </w:rPr>
        <w:t>23</w:t>
      </w:r>
      <w:r>
        <w:rPr>
          <w:rFonts w:hint="eastAsia" w:eastAsia="仿宋_GB2312"/>
          <w:sz w:val="32"/>
          <w:szCs w:val="32"/>
        </w:rPr>
        <w:t>日起实施的《云南省</w:t>
      </w:r>
      <w:r>
        <w:rPr>
          <w:rFonts w:hint="eastAsia" w:ascii="仿宋_GB2312" w:hAnsi="仿宋_GB2312" w:eastAsia="仿宋_GB2312" w:cs="仿宋_GB2312"/>
          <w:sz w:val="32"/>
          <w:szCs w:val="32"/>
        </w:rPr>
        <w:t>禄劝县</w:t>
      </w:r>
      <w:r>
        <w:rPr>
          <w:rFonts w:hint="eastAsia" w:eastAsia="仿宋_GB2312"/>
          <w:sz w:val="32"/>
          <w:szCs w:val="32"/>
        </w:rPr>
        <w:t>烟草制品零售点合理布局规划》（禄烟局〔</w:t>
      </w:r>
      <w:r>
        <w:rPr>
          <w:rFonts w:ascii="Times New Roman" w:hAnsi="Times New Roman" w:eastAsia="仿宋_GB2312"/>
          <w:sz w:val="32"/>
          <w:szCs w:val="32"/>
        </w:rPr>
        <w:t>2025</w:t>
      </w:r>
      <w:r>
        <w:rPr>
          <w:rFonts w:hint="eastAsia" w:eastAsia="仿宋_GB2312"/>
          <w:sz w:val="32"/>
          <w:szCs w:val="32"/>
        </w:rPr>
        <w:t>〕</w:t>
      </w:r>
      <w:r>
        <w:rPr>
          <w:rFonts w:ascii="Times New Roman" w:hAnsi="Times New Roman" w:eastAsia="仿宋_GB2312"/>
          <w:sz w:val="32"/>
          <w:szCs w:val="32"/>
        </w:rPr>
        <w:t>9</w:t>
      </w:r>
      <w:r>
        <w:rPr>
          <w:rFonts w:hint="eastAsia" w:eastAsia="仿宋_GB2312"/>
          <w:sz w:val="32"/>
          <w:szCs w:val="32"/>
        </w:rPr>
        <w:t>号）同时废止。</w:t>
      </w:r>
    </w:p>
    <w:p w14:paraId="3A83C079">
      <w:pPr>
        <w:pStyle w:val="19"/>
        <w:keepNext w:val="0"/>
        <w:keepLines w:val="0"/>
        <w:pageBreakBefore w:val="0"/>
        <w:kinsoku/>
        <w:wordWrap/>
        <w:overflowPunct/>
        <w:topLinePunct w:val="0"/>
        <w:bidi w:val="0"/>
        <w:spacing w:line="560" w:lineRule="exact"/>
        <w:rPr>
          <w:rFonts w:hint="eastAsia" w:eastAsia="仿宋_GB2312"/>
          <w:sz w:val="32"/>
          <w:szCs w:val="32"/>
        </w:rPr>
      </w:pPr>
    </w:p>
    <w:p w14:paraId="0AEF778F">
      <w:pPr>
        <w:keepNext w:val="0"/>
        <w:keepLines w:val="0"/>
        <w:pageBreakBefore w:val="0"/>
        <w:kinsoku/>
        <w:wordWrap/>
        <w:overflowPunct/>
        <w:topLinePunct w:val="0"/>
        <w:bidi w:val="0"/>
        <w:adjustRightInd w:val="0"/>
        <w:snapToGrid w:val="0"/>
        <w:spacing w:line="560" w:lineRule="exact"/>
        <w:ind w:firstLine="640" w:firstLineChars="200"/>
        <w:textAlignment w:val="baseline"/>
        <w:rPr>
          <w:rFonts w:eastAsia="仿宋_GB2312"/>
          <w:sz w:val="32"/>
          <w:szCs w:val="32"/>
        </w:rPr>
      </w:pPr>
      <w:r>
        <w:rPr>
          <w:rFonts w:hint="eastAsia" w:eastAsia="仿宋_GB2312"/>
          <w:sz w:val="32"/>
          <w:szCs w:val="32"/>
        </w:rPr>
        <w:t>附件</w:t>
      </w:r>
      <w:r>
        <w:rPr>
          <w:rFonts w:ascii="Times New Roman" w:hAnsi="Times New Roman" w:eastAsia="仿宋_GB2312"/>
          <w:sz w:val="32"/>
          <w:szCs w:val="32"/>
        </w:rPr>
        <w:t>1</w:t>
      </w:r>
      <w:r>
        <w:rPr>
          <w:rFonts w:hint="eastAsia" w:eastAsia="仿宋_GB2312"/>
          <w:sz w:val="32"/>
          <w:szCs w:val="32"/>
        </w:rPr>
        <w:t>：</w:t>
      </w:r>
      <w:bookmarkStart w:id="9" w:name="OLE_LINK31"/>
      <w:bookmarkStart w:id="10" w:name="OLE_LINK30"/>
      <w:bookmarkStart w:id="11" w:name="OLE_LINK7"/>
      <w:bookmarkStart w:id="12" w:name="OLE_LINK8"/>
      <w:r>
        <w:rPr>
          <w:rFonts w:hint="eastAsia" w:eastAsia="仿宋_GB2312"/>
          <w:sz w:val="32"/>
          <w:szCs w:val="32"/>
        </w:rPr>
        <w:t>云南省昆明市</w:t>
      </w:r>
      <w:bookmarkEnd w:id="9"/>
      <w:bookmarkEnd w:id="10"/>
      <w:r>
        <w:rPr>
          <w:rFonts w:hint="eastAsia" w:eastAsia="仿宋_GB2312"/>
          <w:sz w:val="32"/>
          <w:szCs w:val="32"/>
        </w:rPr>
        <w:t>禄劝县</w:t>
      </w:r>
      <w:bookmarkEnd w:id="11"/>
      <w:bookmarkEnd w:id="12"/>
      <w:r>
        <w:rPr>
          <w:rFonts w:hint="eastAsia" w:eastAsia="仿宋_GB2312"/>
          <w:sz w:val="32"/>
          <w:szCs w:val="32"/>
        </w:rPr>
        <w:t>烟草制品零售点间距测量规则及标准</w:t>
      </w:r>
    </w:p>
    <w:p w14:paraId="265000C3">
      <w:pPr>
        <w:keepNext w:val="0"/>
        <w:keepLines w:val="0"/>
        <w:pageBreakBefore w:val="0"/>
        <w:kinsoku/>
        <w:wordWrap/>
        <w:overflowPunct/>
        <w:topLinePunct w:val="0"/>
        <w:bidi w:val="0"/>
        <w:snapToGrid w:val="0"/>
        <w:spacing w:line="560" w:lineRule="exact"/>
        <w:ind w:firstLine="640" w:firstLineChars="200"/>
        <w:textAlignment w:val="baseline"/>
        <w:rPr>
          <w:rFonts w:eastAsia="仿宋_GB2312"/>
          <w:sz w:val="32"/>
          <w:szCs w:val="32"/>
        </w:rPr>
      </w:pPr>
      <w:r>
        <w:rPr>
          <w:rFonts w:hint="eastAsia" w:eastAsia="仿宋_GB2312"/>
          <w:sz w:val="32"/>
          <w:szCs w:val="32"/>
        </w:rPr>
        <w:t>附件</w:t>
      </w:r>
      <w:r>
        <w:rPr>
          <w:rFonts w:ascii="Times New Roman" w:hAnsi="Times New Roman" w:eastAsia="仿宋_GB2312"/>
          <w:sz w:val="32"/>
          <w:szCs w:val="32"/>
        </w:rPr>
        <w:t>2</w:t>
      </w:r>
      <w:r>
        <w:rPr>
          <w:rFonts w:hint="eastAsia" w:eastAsia="仿宋_GB2312"/>
          <w:sz w:val="32"/>
          <w:szCs w:val="32"/>
        </w:rPr>
        <w:t>：云南省昆明市禄劝县烟草专卖局烟草制品零售点合理布局公示表</w:t>
      </w:r>
    </w:p>
    <w:p w14:paraId="12DC97FD">
      <w:pPr>
        <w:keepNext w:val="0"/>
        <w:keepLines w:val="0"/>
        <w:pageBreakBefore w:val="0"/>
        <w:kinsoku/>
        <w:wordWrap/>
        <w:overflowPunct/>
        <w:topLinePunct w:val="0"/>
        <w:bidi w:val="0"/>
        <w:snapToGrid w:val="0"/>
        <w:spacing w:line="560" w:lineRule="exact"/>
        <w:ind w:firstLine="640" w:firstLineChars="200"/>
        <w:textAlignment w:val="baseline"/>
        <w:rPr>
          <w:rFonts w:eastAsia="仿宋_GB2312"/>
          <w:sz w:val="32"/>
          <w:szCs w:val="32"/>
        </w:rPr>
      </w:pPr>
      <w:r>
        <w:rPr>
          <w:rFonts w:hint="eastAsia" w:eastAsia="仿宋_GB2312"/>
          <w:sz w:val="32"/>
          <w:szCs w:val="32"/>
        </w:rPr>
        <w:t>附件</w:t>
      </w:r>
      <w:r>
        <w:rPr>
          <w:rFonts w:ascii="Times New Roman" w:hAnsi="Times New Roman" w:eastAsia="仿宋_GB2312"/>
          <w:sz w:val="32"/>
          <w:szCs w:val="32"/>
        </w:rPr>
        <w:t>3</w:t>
      </w:r>
      <w:r>
        <w:rPr>
          <w:rFonts w:hint="eastAsia" w:eastAsia="仿宋_GB2312"/>
          <w:sz w:val="32"/>
          <w:szCs w:val="32"/>
        </w:rPr>
        <w:t>：云南省昆明市禄劝县烟草专卖局雪茄烟专营店零售点合理布局公示表</w:t>
      </w:r>
    </w:p>
    <w:p w14:paraId="457D73E8">
      <w:pPr>
        <w:keepNext w:val="0"/>
        <w:keepLines w:val="0"/>
        <w:pageBreakBefore w:val="0"/>
        <w:kinsoku/>
        <w:wordWrap/>
        <w:overflowPunct/>
        <w:topLinePunct w:val="0"/>
        <w:bidi w:val="0"/>
        <w:snapToGrid w:val="0"/>
        <w:spacing w:line="560" w:lineRule="exact"/>
        <w:ind w:firstLine="640" w:firstLineChars="200"/>
        <w:textAlignment w:val="baseline"/>
        <w:rPr>
          <w:rFonts w:eastAsia="仿宋_GB2312"/>
          <w:sz w:val="32"/>
          <w:szCs w:val="32"/>
        </w:rPr>
      </w:pPr>
      <w:r>
        <w:rPr>
          <w:rFonts w:hint="eastAsia" w:eastAsia="仿宋_GB2312"/>
          <w:sz w:val="32"/>
          <w:szCs w:val="32"/>
        </w:rPr>
        <w:t>附件</w:t>
      </w:r>
      <w:r>
        <w:rPr>
          <w:rFonts w:ascii="Times New Roman" w:hAnsi="Times New Roman" w:eastAsia="仿宋_GB2312"/>
          <w:sz w:val="32"/>
          <w:szCs w:val="32"/>
        </w:rPr>
        <w:t>4</w:t>
      </w:r>
      <w:r>
        <w:rPr>
          <w:rFonts w:hint="eastAsia" w:eastAsia="仿宋_GB2312"/>
          <w:sz w:val="32"/>
          <w:szCs w:val="32"/>
        </w:rPr>
        <w:t>：云南省昆明市禄劝县烟草专卖局烟草制品零售点合理布局网格示意图</w:t>
      </w:r>
    </w:p>
    <w:p w14:paraId="290DC150">
      <w:pPr>
        <w:keepNext w:val="0"/>
        <w:keepLines w:val="0"/>
        <w:pageBreakBefore w:val="0"/>
        <w:kinsoku/>
        <w:wordWrap/>
        <w:overflowPunct/>
        <w:topLinePunct w:val="0"/>
        <w:bidi w:val="0"/>
        <w:snapToGrid w:val="0"/>
        <w:spacing w:line="560" w:lineRule="exact"/>
        <w:ind w:firstLine="640" w:firstLineChars="200"/>
        <w:textAlignment w:val="baseline"/>
        <w:rPr>
          <w:rFonts w:eastAsia="仿宋_GB2312"/>
          <w:sz w:val="32"/>
          <w:szCs w:val="32"/>
        </w:rPr>
      </w:pPr>
      <w:r>
        <w:rPr>
          <w:rFonts w:hint="eastAsia" w:eastAsia="仿宋_GB2312"/>
          <w:sz w:val="32"/>
          <w:szCs w:val="32"/>
        </w:rPr>
        <w:t>附件</w:t>
      </w:r>
      <w:r>
        <w:rPr>
          <w:rFonts w:ascii="Times New Roman" w:hAnsi="Times New Roman" w:eastAsia="仿宋_GB2312"/>
          <w:sz w:val="32"/>
          <w:szCs w:val="32"/>
        </w:rPr>
        <w:t>5</w:t>
      </w:r>
      <w:r>
        <w:rPr>
          <w:rFonts w:hint="eastAsia" w:eastAsia="仿宋_GB2312"/>
          <w:sz w:val="32"/>
          <w:szCs w:val="32"/>
        </w:rPr>
        <w:t>：云南省昆明市禄劝县烟草专卖局烟草制品零售点排队轮候制度</w:t>
      </w:r>
    </w:p>
    <w:p w14:paraId="0F47CBE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eastAsia="仿宋_GB2312"/>
          <w:sz w:val="32"/>
          <w:szCs w:val="32"/>
        </w:rPr>
        <w:t>附件</w:t>
      </w:r>
      <w:r>
        <w:rPr>
          <w:rFonts w:ascii="Times New Roman" w:hAnsi="Times New Roman" w:eastAsia="仿宋_GB2312"/>
          <w:sz w:val="32"/>
          <w:szCs w:val="32"/>
        </w:rPr>
        <w:t>6</w:t>
      </w:r>
      <w:r>
        <w:rPr>
          <w:rFonts w:hint="eastAsia" w:eastAsia="仿宋_GB2312"/>
          <w:sz w:val="32"/>
          <w:szCs w:val="32"/>
        </w:rPr>
        <w:t>：云南省昆明市禄劝县烟草制品零售点合理布局规划数动态调整管理制度</w:t>
      </w:r>
      <w:bookmarkStart w:id="13" w:name="_GoBack"/>
      <w:bookmarkEnd w:id="13"/>
    </w:p>
    <w:sectPr>
      <w:headerReference r:id="rId3" w:type="default"/>
      <w:footerReference r:id="rId4" w:type="default"/>
      <w:pgSz w:w="11906" w:h="16838"/>
      <w:pgMar w:top="1894"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方正黑体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 w:name="DejaVu Sans">
    <w:panose1 w:val="020B0603030804020204"/>
    <w:charset w:val="00"/>
    <w:family w:val="auto"/>
    <w:pitch w:val="default"/>
    <w:sig w:usb0="E7006EFF" w:usb1="D200FDFF" w:usb2="0A246029" w:usb3="0400200C" w:csb0="600001FF" w:csb1="DFFF0000"/>
  </w:font>
  <w:font w:name="等线">
    <w:altName w:val="原版宋体"/>
    <w:panose1 w:val="02010600030101010101"/>
    <w:charset w:val="86"/>
    <w:family w:val="auto"/>
    <w:pitch w:val="default"/>
    <w:sig w:usb0="00000000" w:usb1="00000000" w:usb2="00000016" w:usb3="00000000" w:csb0="0004000F" w:csb1="00000000"/>
  </w:font>
  <w:font w:name="国标仿宋">
    <w:panose1 w:val="02000500000000000000"/>
    <w:charset w:val="86"/>
    <w:family w:val="auto"/>
    <w:pitch w:val="default"/>
    <w:sig w:usb0="A00002BF" w:usb1="38C77CFA" w:usb2="00000016"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原版宋体">
    <w:panose1 w:val="02010600030101010101"/>
    <w:charset w:val="86"/>
    <w:family w:val="auto"/>
    <w:pitch w:val="default"/>
    <w:sig w:usb0="00000003" w:usb1="080E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E2287">
    <w:pPr>
      <w:pStyle w:val="6"/>
      <w:ind w:left="4788" w:leftChars="2280" w:firstLine="6400" w:firstLineChars="2000"/>
      <w:rPr>
        <w:rFonts w:hint="eastAsia" w:ascii="宋体" w:hAnsi="宋体" w:eastAsia="宋体" w:cs="宋体"/>
        <w:b/>
        <w:bCs/>
        <w:color w:val="005192"/>
        <w:sz w:val="26"/>
        <w:szCs w:val="26"/>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posOffset>0</wp:posOffset>
              </wp:positionH>
              <wp:positionV relativeFrom="paragraph">
                <wp:posOffset>209550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ABA555">
                          <w:pPr>
                            <w:pStyle w:val="5"/>
                            <w:keepNext w:val="0"/>
                            <w:keepLines w:val="0"/>
                            <w:suppressLineNumbers w:val="0"/>
                            <w:tabs>
                              <w:tab w:val="center" w:pos="4153"/>
                              <w:tab w:val="right" w:pos="8306"/>
                            </w:tabs>
                            <w:spacing w:before="0" w:beforeAutospacing="0" w:after="0" w:afterAutospacing="0"/>
                            <w:ind w:left="0" w:right="0"/>
                            <w:rPr>
                              <w:rFonts w:hint="eastAsia" w:ascii="宋体" w:hAnsi="宋体" w:eastAsia="宋体" w:cs="宋体"/>
                              <w:sz w:val="28"/>
                              <w:szCs w:val="28"/>
                              <w:lang w:bidi="ar-SA"/>
                            </w:rPr>
                          </w:pPr>
                          <w:r>
                            <w:rPr>
                              <w:rFonts w:hint="eastAsia" w:ascii="宋体" w:hAnsi="宋体" w:eastAsia="宋体" w:cs="宋体"/>
                              <w:sz w:val="28"/>
                              <w:szCs w:val="28"/>
                              <w:lang w:bidi="ar-SA"/>
                            </w:rPr>
                            <w:fldChar w:fldCharType="begin"/>
                          </w:r>
                          <w:r>
                            <w:rPr>
                              <w:rFonts w:hint="eastAsia" w:ascii="宋体" w:hAnsi="宋体" w:eastAsia="宋体" w:cs="宋体"/>
                              <w:sz w:val="28"/>
                              <w:szCs w:val="28"/>
                              <w:lang w:bidi="ar-SA"/>
                            </w:rPr>
                            <w:instrText xml:space="preserve"> PAGE  \* MERGEFORMAT </w:instrText>
                          </w:r>
                          <w:r>
                            <w:rPr>
                              <w:rFonts w:hint="eastAsia" w:ascii="宋体" w:hAnsi="宋体" w:eastAsia="宋体" w:cs="宋体"/>
                              <w:sz w:val="28"/>
                              <w:szCs w:val="28"/>
                              <w:lang w:bidi="ar-SA"/>
                            </w:rPr>
                            <w:fldChar w:fldCharType="separate"/>
                          </w:r>
                          <w:r>
                            <w:rPr>
                              <w:rFonts w:hint="eastAsia" w:ascii="宋体" w:hAnsi="宋体" w:eastAsia="宋体" w:cs="宋体"/>
                              <w:sz w:val="28"/>
                              <w:szCs w:val="28"/>
                              <w:lang w:bidi="ar-SA"/>
                            </w:rPr>
                            <w:t>- 1 -</w:t>
                          </w:r>
                          <w:r>
                            <w:rPr>
                              <w:rFonts w:hint="eastAsia" w:ascii="宋体" w:hAnsi="宋体" w:eastAsia="宋体" w:cs="宋体"/>
                              <w:sz w:val="28"/>
                              <w:szCs w:val="28"/>
                              <w:lang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0pt;margin-top:16.5pt;height:144pt;width:144pt;mso-position-horizontal-relative:margin;mso-wrap-style:none;z-index:251661312;mso-width-relative:page;mso-height-relative:page;" filled="f" stroked="f" coordsize="21600,21600" o:gfxdata="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rjilZ1AAAAAcBAAAPAAAAAAAAAAEAIAAAACIAAABkcnMvZG93bnJldi54bWxQSwEC&#10;FAAUAAAACACHTuJAx5e1zjECAABhBAAADgAAAAAAAAABACAAAAAjAQAAZHJzL2Uyb0RvYy54bWxQ&#10;SwUGAAAAAAYABgBZAQAAxgUAAAAA&#10;">
              <v:fill on="f" focussize="0,0"/>
              <v:stroke on="f" weight="0.5pt"/>
              <v:imagedata o:title=""/>
              <o:lock v:ext="edit" aspectratio="f"/>
              <v:textbox inset="0mm,0mm,0mm,0mm" style="mso-fit-shape-to-text:t;">
                <w:txbxContent>
                  <w:p w14:paraId="33ABA555">
                    <w:pPr>
                      <w:pStyle w:val="5"/>
                      <w:keepNext w:val="0"/>
                      <w:keepLines w:val="0"/>
                      <w:suppressLineNumbers w:val="0"/>
                      <w:tabs>
                        <w:tab w:val="center" w:pos="4153"/>
                        <w:tab w:val="right" w:pos="8306"/>
                      </w:tabs>
                      <w:spacing w:before="0" w:beforeAutospacing="0" w:after="0" w:afterAutospacing="0"/>
                      <w:ind w:left="0" w:right="0"/>
                      <w:rPr>
                        <w:rFonts w:hint="eastAsia" w:ascii="宋体" w:hAnsi="宋体" w:eastAsia="宋体" w:cs="宋体"/>
                        <w:sz w:val="28"/>
                        <w:szCs w:val="28"/>
                        <w:lang w:bidi="ar-SA"/>
                      </w:rPr>
                    </w:pPr>
                    <w:r>
                      <w:rPr>
                        <w:rFonts w:hint="eastAsia" w:ascii="宋体" w:hAnsi="宋体" w:eastAsia="宋体" w:cs="宋体"/>
                        <w:sz w:val="28"/>
                        <w:szCs w:val="28"/>
                        <w:lang w:bidi="ar-SA"/>
                      </w:rPr>
                      <w:fldChar w:fldCharType="begin"/>
                    </w:r>
                    <w:r>
                      <w:rPr>
                        <w:rFonts w:hint="eastAsia" w:ascii="宋体" w:hAnsi="宋体" w:eastAsia="宋体" w:cs="宋体"/>
                        <w:sz w:val="28"/>
                        <w:szCs w:val="28"/>
                        <w:lang w:bidi="ar-SA"/>
                      </w:rPr>
                      <w:instrText xml:space="preserve"> PAGE  \* MERGEFORMAT </w:instrText>
                    </w:r>
                    <w:r>
                      <w:rPr>
                        <w:rFonts w:hint="eastAsia" w:ascii="宋体" w:hAnsi="宋体" w:eastAsia="宋体" w:cs="宋体"/>
                        <w:sz w:val="28"/>
                        <w:szCs w:val="28"/>
                        <w:lang w:bidi="ar-SA"/>
                      </w:rPr>
                      <w:fldChar w:fldCharType="separate"/>
                    </w:r>
                    <w:r>
                      <w:rPr>
                        <w:rFonts w:hint="eastAsia" w:ascii="宋体" w:hAnsi="宋体" w:eastAsia="宋体" w:cs="宋体"/>
                        <w:sz w:val="28"/>
                        <w:szCs w:val="28"/>
                        <w:lang w:bidi="ar-SA"/>
                      </w:rPr>
                      <w:t>- 1 -</w:t>
                    </w:r>
                    <w:r>
                      <w:rPr>
                        <w:rFonts w:hint="eastAsia" w:ascii="宋体" w:hAnsi="宋体" w:eastAsia="宋体" w:cs="宋体"/>
                        <w:sz w:val="28"/>
                        <w:szCs w:val="28"/>
                        <w:lang w:bidi="ar-SA"/>
                      </w:rPr>
                      <w:fldChar w:fldCharType="end"/>
                    </w:r>
                  </w:p>
                </w:txbxContent>
              </v:textbox>
            </v:shape>
          </w:pict>
        </mc:Fallback>
      </mc:AlternateContent>
    </w: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ascii="方正小标宋简体" w:hAnsi="方正小标宋简体" w:eastAsia="方正小标宋简体" w:cs="方正小标宋简体"/>
        <w:b w:val="0"/>
        <w:bCs w:val="0"/>
        <w:color w:val="005192"/>
        <w:sz w:val="26"/>
        <w:szCs w:val="26"/>
        <w:lang w:val="en-US" w:eastAsia="zh-CN"/>
      </w:rPr>
      <w:t>禄禄劝彝族苗族自治县人民政府发布</w:t>
    </w:r>
  </w:p>
  <w:p w14:paraId="739018C5">
    <w:pPr>
      <w:pStyle w:val="6"/>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61DDDD">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14:paraId="6E05709E">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eastAsia="zh-CN"/>
      </w:rPr>
      <w:t>禄劝彝族苗族自治县</w:t>
    </w:r>
    <w:r>
      <w:rPr>
        <w:rFonts w:hint="eastAsia" w:ascii="宋体" w:hAnsi="宋体" w:eastAsia="宋体" w:cs="宋体"/>
        <w:b/>
        <w:bCs/>
        <w:color w:val="005192"/>
        <w:sz w:val="32"/>
        <w:szCs w:val="32"/>
        <w:lang w:val="en-US" w:eastAsia="zh-CN"/>
      </w:rPr>
      <w:t>人民政府行政规范性文件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E06B93"/>
    <w:multiLevelType w:val="singleLevel"/>
    <w:tmpl w:val="9AE06B93"/>
    <w:lvl w:ilvl="0" w:tentative="0">
      <w:start w:val="1"/>
      <w:numFmt w:val="chineseCounting"/>
      <w:suff w:val="nothing"/>
      <w:lvlText w:val="（%1）"/>
      <w:lvlJc w:val="left"/>
      <w:pPr>
        <w:ind w:left="0" w:firstLine="0"/>
      </w:pPr>
    </w:lvl>
  </w:abstractNum>
  <w:abstractNum w:abstractNumId="1">
    <w:nsid w:val="20CE79E8"/>
    <w:multiLevelType w:val="multilevel"/>
    <w:tmpl w:val="20CE79E8"/>
    <w:lvl w:ilvl="0" w:tentative="0">
      <w:start w:val="1"/>
      <w:numFmt w:val="chineseCounting"/>
      <w:suff w:val="nothing"/>
      <w:lvlText w:val="第%1章　"/>
      <w:lvlJc w:val="left"/>
      <w:pPr>
        <w:ind w:left="0" w:firstLine="402"/>
      </w:pPr>
    </w:lvl>
    <w:lvl w:ilvl="1" w:tentative="0">
      <w:start w:val="1"/>
      <w:numFmt w:val="chineseCounting"/>
      <w:suff w:val="nothing"/>
      <w:lvlText w:val="第%2节　"/>
      <w:lvlJc w:val="left"/>
      <w:pPr>
        <w:ind w:left="0" w:firstLine="402"/>
      </w:pPr>
    </w:lvl>
    <w:lvl w:ilvl="2" w:tentative="0">
      <w:start w:val="1"/>
      <w:numFmt w:val="chineseCounting"/>
      <w:suff w:val="nothing"/>
      <w:lvlText w:val="第%3条　"/>
      <w:lvlJc w:val="left"/>
      <w:pPr>
        <w:ind w:left="0" w:firstLine="397"/>
      </w:pPr>
      <w:rPr>
        <w:rFonts w:hint="eastAsia" w:ascii="Times New Roman" w:hAnsi="Times New Roman" w:eastAsia="黑体"/>
        <w:color w:val="auto"/>
        <w:sz w:val="32"/>
        <w:szCs w:val="32"/>
      </w:rPr>
    </w:lvl>
    <w:lvl w:ilvl="3" w:tentative="0">
      <w:start w:val="1"/>
      <w:numFmt w:val="chineseCounting"/>
      <w:suff w:val="nothing"/>
      <w:lvlText w:val="（%4）"/>
      <w:lvlJc w:val="left"/>
      <w:pPr>
        <w:ind w:left="0" w:firstLine="402"/>
      </w:pPr>
    </w:lvl>
    <w:lvl w:ilvl="4" w:tentative="0">
      <w:start w:val="1"/>
      <w:numFmt w:val="decimal"/>
      <w:suff w:val="nothing"/>
      <w:lvlText w:val="%5．"/>
      <w:lvlJc w:val="left"/>
      <w:pPr>
        <w:ind w:left="0" w:firstLine="402"/>
      </w:pPr>
    </w:lvl>
    <w:lvl w:ilvl="5" w:tentative="0">
      <w:start w:val="1"/>
      <w:numFmt w:val="decimal"/>
      <w:suff w:val="nothing"/>
      <w:lvlText w:val="（%6）"/>
      <w:lvlJc w:val="left"/>
      <w:pPr>
        <w:ind w:left="0" w:firstLine="402"/>
      </w:pPr>
    </w:lvl>
    <w:lvl w:ilvl="6" w:tentative="0">
      <w:start w:val="1"/>
      <w:numFmt w:val="decimalEnclosedCircleChinese"/>
      <w:suff w:val="nothing"/>
      <w:lvlText w:val="%7 "/>
      <w:lvlJc w:val="left"/>
      <w:pPr>
        <w:ind w:left="0" w:firstLine="402"/>
      </w:pPr>
    </w:lvl>
    <w:lvl w:ilvl="7" w:tentative="0">
      <w:start w:val="1"/>
      <w:numFmt w:val="decimal"/>
      <w:suff w:val="nothing"/>
      <w:lvlText w:val="%8）"/>
      <w:lvlJc w:val="left"/>
      <w:pPr>
        <w:ind w:left="0" w:firstLine="402"/>
      </w:pPr>
    </w:lvl>
    <w:lvl w:ilvl="8" w:tentative="0">
      <w:start w:val="1"/>
      <w:numFmt w:val="lowerLetter"/>
      <w:suff w:val="nothing"/>
      <w:lvlText w:val="%9．"/>
      <w:lvlJc w:val="left"/>
      <w:pPr>
        <w:ind w:left="0" w:firstLine="402"/>
      </w:pPr>
    </w:lvl>
  </w:abstractNum>
  <w:abstractNum w:abstractNumId="2">
    <w:nsid w:val="57CC925A"/>
    <w:multiLevelType w:val="singleLevel"/>
    <w:tmpl w:val="57CC925A"/>
    <w:lvl w:ilvl="0" w:tentative="0">
      <w:start w:val="1"/>
      <w:numFmt w:val="chineseCounting"/>
      <w:suff w:val="nothing"/>
      <w:lvlText w:val="（%1）"/>
      <w:lvlJc w:val="left"/>
      <w:pPr>
        <w:ind w:left="0" w:firstLine="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0BE30D83"/>
    <w:rsid w:val="0F0D1636"/>
    <w:rsid w:val="152D2DCA"/>
    <w:rsid w:val="188C515A"/>
    <w:rsid w:val="1DEC284C"/>
    <w:rsid w:val="1E6523AC"/>
    <w:rsid w:val="22440422"/>
    <w:rsid w:val="23C13AE1"/>
    <w:rsid w:val="2F817E86"/>
    <w:rsid w:val="31091FAE"/>
    <w:rsid w:val="31A15F24"/>
    <w:rsid w:val="31CB4D59"/>
    <w:rsid w:val="395347B5"/>
    <w:rsid w:val="39A232A0"/>
    <w:rsid w:val="39E745AA"/>
    <w:rsid w:val="3B5A6BBB"/>
    <w:rsid w:val="3B6B354D"/>
    <w:rsid w:val="3BD7602C"/>
    <w:rsid w:val="3EDA13A6"/>
    <w:rsid w:val="42F058B7"/>
    <w:rsid w:val="436109F6"/>
    <w:rsid w:val="441A38D4"/>
    <w:rsid w:val="46A24568"/>
    <w:rsid w:val="46BA7DDF"/>
    <w:rsid w:val="47971473"/>
    <w:rsid w:val="48C648B5"/>
    <w:rsid w:val="493479C9"/>
    <w:rsid w:val="4BC77339"/>
    <w:rsid w:val="4C9236C5"/>
    <w:rsid w:val="505C172E"/>
    <w:rsid w:val="507D4ACB"/>
    <w:rsid w:val="50E479C7"/>
    <w:rsid w:val="52F46F0B"/>
    <w:rsid w:val="53D8014D"/>
    <w:rsid w:val="55E064E0"/>
    <w:rsid w:val="55F240BA"/>
    <w:rsid w:val="572C6D10"/>
    <w:rsid w:val="574D2130"/>
    <w:rsid w:val="5DC34279"/>
    <w:rsid w:val="608816D1"/>
    <w:rsid w:val="60EF4E7F"/>
    <w:rsid w:val="65754DFC"/>
    <w:rsid w:val="665233C1"/>
    <w:rsid w:val="6AD9688B"/>
    <w:rsid w:val="6D0E3F22"/>
    <w:rsid w:val="6F1C565D"/>
    <w:rsid w:val="6FAE0DE5"/>
    <w:rsid w:val="719C6B6F"/>
    <w:rsid w:val="777FB8A0"/>
    <w:rsid w:val="7C9011D9"/>
    <w:rsid w:val="7CBB6E0D"/>
    <w:rsid w:val="7DC651C5"/>
    <w:rsid w:val="7F572BCD"/>
    <w:rsid w:val="7FCC2834"/>
    <w:rsid w:val="9BCE580F"/>
    <w:rsid w:val="9D8E1EC3"/>
    <w:rsid w:val="EDE57331"/>
    <w:rsid w:val="FFFA624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widowControl w:val="0"/>
      <w:spacing w:before="340" w:after="330" w:line="578" w:lineRule="auto"/>
      <w:jc w:val="both"/>
      <w:outlineLvl w:val="0"/>
    </w:pPr>
    <w:rPr>
      <w:rFonts w:ascii="Times New Roman" w:hAnsi="Times New Roman" w:eastAsia="宋体" w:cs="Times New Roman"/>
      <w:b/>
      <w:bCs/>
      <w:kern w:val="44"/>
      <w:sz w:val="44"/>
      <w:szCs w:val="44"/>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semiHidden/>
    <w:unhideWhenUsed/>
    <w:qFormat/>
    <w:uiPriority w:val="0"/>
    <w:pPr>
      <w:spacing w:after="120"/>
    </w:pPr>
  </w:style>
  <w:style w:type="paragraph" w:styleId="5">
    <w:name w:val="footer"/>
    <w:basedOn w:val="1"/>
    <w:qFormat/>
    <w:uiPriority w:val="0"/>
    <w:pPr>
      <w:keepNext w:val="0"/>
      <w:keepLines w:val="0"/>
      <w:widowControl w:val="0"/>
      <w:suppressLineNumbers w:val="0"/>
      <w:snapToGrid w:val="0"/>
      <w:spacing w:before="0" w:beforeAutospacing="0" w:after="0" w:afterAutospacing="0"/>
      <w:ind w:left="0" w:right="0"/>
      <w:jc w:val="left"/>
    </w:pPr>
    <w:rPr>
      <w:rFonts w:hint="default" w:ascii="Times New Roman" w:hAnsi="Times New Roman" w:eastAsia="仿宋_GB2312" w:cs="Times New Roman"/>
      <w:kern w:val="2"/>
      <w:sz w:val="18"/>
      <w:szCs w:val="18"/>
      <w:lang w:val="en-US" w:eastAsia="zh-CN" w:bidi="ar"/>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Subtitle"/>
    <w:basedOn w:val="1"/>
    <w:next w:val="1"/>
    <w:qFormat/>
    <w:uiPriority w:val="11"/>
    <w:pPr>
      <w:spacing w:before="240" w:after="240" w:line="312" w:lineRule="auto"/>
      <w:jc w:val="center"/>
      <w:outlineLvl w:val="1"/>
    </w:pPr>
    <w:rPr>
      <w:rFonts w:ascii="等线" w:hAnsi="等线" w:eastAsia="等线"/>
      <w:kern w:val="28"/>
      <w:sz w:val="40"/>
      <w:szCs w:val="40"/>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basedOn w:val="10"/>
    <w:qFormat/>
    <w:uiPriority w:val="0"/>
  </w:style>
  <w:style w:type="character" w:styleId="12">
    <w:name w:val="Hyperlink"/>
    <w:basedOn w:val="10"/>
    <w:qFormat/>
    <w:uiPriority w:val="0"/>
    <w:rPr>
      <w:rFonts w:ascii="Times New Roman" w:hAnsi="Times New Roman" w:eastAsia="宋体" w:cs="Times New Roman"/>
      <w:color w:val="0000FF"/>
      <w:u w:val="single"/>
    </w:rPr>
  </w:style>
  <w:style w:type="table" w:customStyle="1" w:styleId="13">
    <w:name w:val="Table Normal"/>
    <w:semiHidden/>
    <w:unhideWhenUsed/>
    <w:qFormat/>
    <w:uiPriority w:val="0"/>
    <w:tblPr>
      <w:tblCellMar>
        <w:top w:w="0" w:type="dxa"/>
        <w:left w:w="0" w:type="dxa"/>
        <w:bottom w:w="0" w:type="dxa"/>
        <w:right w:w="0" w:type="dxa"/>
      </w:tblCellMar>
    </w:tblPr>
  </w:style>
  <w:style w:type="paragraph" w:customStyle="1" w:styleId="14">
    <w:name w:val="实施方案正文"/>
    <w:basedOn w:val="1"/>
    <w:qFormat/>
    <w:uiPriority w:val="0"/>
    <w:pPr>
      <w:ind w:firstLine="566" w:firstLineChars="202"/>
    </w:pPr>
    <w:rPr>
      <w:rFonts w:ascii="Calibri" w:hAnsi="Calibri" w:eastAsia="宋体" w:cs="Calibri"/>
      <w:sz w:val="21"/>
      <w:szCs w:val="21"/>
    </w:rPr>
  </w:style>
  <w:style w:type="character" w:customStyle="1" w:styleId="15">
    <w:name w:val="15"/>
    <w:basedOn w:val="10"/>
    <w:qFormat/>
    <w:uiPriority w:val="0"/>
    <w:rPr>
      <w:rFonts w:hint="default" w:ascii="Times New Roman" w:hAnsi="Times New Roman" w:eastAsia="宋体" w:cs="Times New Roman"/>
    </w:rPr>
  </w:style>
  <w:style w:type="character" w:customStyle="1" w:styleId="16">
    <w:name w:val="10"/>
    <w:basedOn w:val="10"/>
    <w:qFormat/>
    <w:uiPriority w:val="0"/>
    <w:rPr>
      <w:rFonts w:hint="default" w:ascii="Calibri" w:hAnsi="Calibri" w:cs="Calibri"/>
    </w:rPr>
  </w:style>
  <w:style w:type="character" w:customStyle="1" w:styleId="17">
    <w:name w:val="16"/>
    <w:basedOn w:val="10"/>
    <w:qFormat/>
    <w:uiPriority w:val="0"/>
    <w:rPr>
      <w:rFonts w:hint="default" w:ascii="Times New Roman" w:hAnsi="Times New Roman" w:eastAsia="宋体" w:cs="Times New Roman"/>
      <w:color w:val="0000FF"/>
      <w:u w:val="single"/>
    </w:rPr>
  </w:style>
  <w:style w:type="paragraph" w:customStyle="1" w:styleId="18">
    <w:name w:val="p0"/>
    <w:basedOn w:val="1"/>
    <w:qFormat/>
    <w:uiPriority w:val="0"/>
    <w:pPr>
      <w:widowControl/>
      <w:spacing w:before="100" w:beforeAutospacing="1" w:after="100" w:afterAutospacing="1"/>
      <w:jc w:val="left"/>
    </w:pPr>
    <w:rPr>
      <w:rFonts w:ascii="宋体" w:hAnsi="宋体" w:eastAsia="宋体" w:cs="宋体"/>
      <w:kern w:val="0"/>
      <w:sz w:val="24"/>
    </w:rPr>
  </w:style>
  <w:style w:type="paragraph" w:customStyle="1" w:styleId="19">
    <w:name w:val="Default"/>
    <w:qFormat/>
    <w:uiPriority w:val="0"/>
    <w:pPr>
      <w:widowControl w:val="0"/>
      <w:autoSpaceDE w:val="0"/>
      <w:autoSpaceDN w:val="0"/>
      <w:adjustRightInd w:val="0"/>
    </w:pPr>
    <w:rPr>
      <w:rFonts w:ascii="宋体" w:hAnsi="Times New Roman" w:eastAsia="Times New Roman" w:cs="宋体"/>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4655</Words>
  <Characters>4701</Characters>
  <Lines>1</Lines>
  <Paragraphs>1</Paragraphs>
  <TotalTime>2</TotalTime>
  <ScaleCrop>false</ScaleCrop>
  <LinksUpToDate>false</LinksUpToDate>
  <CharactersWithSpaces>4769</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2021-09-10T10:41:00Z</dcterms:created>
  <dc:creator>t</dc:creator>
  <cp:lastModifiedBy>欢</cp:lastModifiedBy>
  <cp:lastPrinted>2021-10-27T11:30:00Z</cp:lastPrinted>
  <dcterms:modified xsi:type="dcterms:W3CDTF">2026-10-13T11:01:14Z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F9019D16BC4721E57BD4506A97A4A2F4_43</vt:lpwstr>
  </property>
</Properties>
</file>