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140F">
      <w:pPr>
        <w:bidi w:val="0"/>
        <w:jc w:val="both"/>
        <w:rPr>
          <w:rFonts w:hint="eastAsia" w:ascii="Times New Roman" w:hAnsi="Times New Roman" w:eastAsiaTheme="minorEastAsia" w:cstheme="minorEastAsia"/>
          <w:sz w:val="44"/>
          <w:szCs w:val="44"/>
          <w:lang w:val="en-US" w:eastAsia="zh-CN"/>
        </w:rPr>
      </w:pPr>
    </w:p>
    <w:p w14:paraId="2F5A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云龙乡</w:t>
      </w:r>
      <w:r>
        <w:rPr>
          <w:rFonts w:hint="default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人民政府</w:t>
      </w:r>
    </w:p>
    <w:p w14:paraId="5A32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关于印发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《云龙乡集镇管理办法》的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通知</w:t>
      </w:r>
    </w:p>
    <w:p w14:paraId="578D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/>
        </w:rPr>
        <w:t>云龙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政规〔202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〕1号</w:t>
      </w:r>
    </w:p>
    <w:p w14:paraId="483F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</w:pPr>
    </w:p>
    <w:p w14:paraId="2572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各村委会，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属各中心（所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/>
        </w:rPr>
        <w:t>队、办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/>
        </w:rPr>
        <w:t>驻云单位，集镇居民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</w:rPr>
        <w:t>：</w:t>
      </w:r>
    </w:p>
    <w:p w14:paraId="4A1A3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楷体_GB2312" w:cs="楷体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《云龙乡集镇管理办法》已经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乡人民政府会议研究同意，现予公布</w:t>
      </w:r>
      <w:r>
        <w:rPr>
          <w:rFonts w:hint="eastAsia" w:ascii="Times New Roman" w:hAnsi="Times New Roman" w:eastAsia="楷体_GB2312" w:cs="楷体_GB2312"/>
          <w:snapToGrid w:val="0"/>
          <w:kern w:val="0"/>
          <w:sz w:val="32"/>
          <w:szCs w:val="32"/>
        </w:rPr>
        <w:t>。</w:t>
      </w:r>
      <w:bookmarkStart w:id="0" w:name="_GoBack"/>
      <w:bookmarkEnd w:id="0"/>
    </w:p>
    <w:p w14:paraId="4630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  <w:t xml:space="preserve">   </w:t>
      </w:r>
    </w:p>
    <w:p w14:paraId="524A6AC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741E0E2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0EBB5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eastAsia="zh-CN"/>
        </w:rPr>
        <w:t>云龙乡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人民政府</w:t>
      </w:r>
    </w:p>
    <w:p w14:paraId="3D90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</w:rPr>
        <w:t>日</w:t>
      </w:r>
    </w:p>
    <w:p w14:paraId="2E0D6728">
      <w:pPr>
        <w:pStyle w:val="2"/>
        <w:rPr>
          <w:rFonts w:hint="eastAsia" w:ascii="Times New Roman" w:hAnsi="Times New Roman"/>
          <w:lang w:eastAsia="zh-CN"/>
        </w:rPr>
      </w:pPr>
    </w:p>
    <w:p w14:paraId="0602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eastAsia="zh-CN"/>
        </w:rPr>
        <w:t>（此件公开发布）</w:t>
      </w:r>
    </w:p>
    <w:p w14:paraId="7BC8843D">
      <w:pPr>
        <w:bidi w:val="0"/>
        <w:jc w:val="center"/>
        <w:rPr>
          <w:rFonts w:hint="eastAsia" w:ascii="Times New Roman" w:hAnsi="Times New Roman" w:eastAsiaTheme="minorEastAsia" w:cstheme="minorEastAsia"/>
          <w:color w:val="auto"/>
          <w:sz w:val="44"/>
          <w:szCs w:val="44"/>
          <w:lang w:val="en-US" w:eastAsia="zh-CN"/>
        </w:rPr>
      </w:pPr>
    </w:p>
    <w:p w14:paraId="63B6F50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D21776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</w:p>
    <w:p w14:paraId="281B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3BD7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2C72555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云龙乡集镇管理办法</w:t>
      </w:r>
    </w:p>
    <w:p w14:paraId="0DE5FC2E">
      <w:pPr>
        <w:rPr>
          <w:rFonts w:hint="eastAsia"/>
          <w:lang w:val="en-US" w:eastAsia="zh-CN"/>
        </w:rPr>
      </w:pPr>
    </w:p>
    <w:p w14:paraId="3229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建设宜居宜业、绿美富饶的云龙，打造规范有序、文明和谐、环境优美的集镇，提升城乡居民生活质量，巩固卫生乡创建成果，依据《中华人民共和国行政处罚法》《中华人民共和国城乡规划法》《昆明市城市市容和环境卫生管理条例》《昆明市违法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建筑处置办法》等法律法规，结合云龙乡实际情况，制定本办法。</w:t>
      </w:r>
    </w:p>
    <w:p w14:paraId="405B613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第一章  总 则</w:t>
      </w:r>
    </w:p>
    <w:p w14:paraId="293FA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spacing w:val="-11"/>
          <w:sz w:val="32"/>
          <w:szCs w:val="32"/>
          <w:lang w:eastAsia="zh-CN"/>
        </w:rPr>
        <w:t>一条</w:t>
      </w:r>
      <w:r>
        <w:rPr>
          <w:rFonts w:hint="eastAsia" w:ascii="Times New Roman" w:hAnsi="Times New Roman" w:eastAsia="仿宋_GB2312" w:cs="仿宋_GB2312"/>
          <w:b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集镇规划区范围内的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单位和个人均应遵守本办法。</w:t>
      </w:r>
    </w:p>
    <w:p w14:paraId="06CF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第二条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人民政府统一负责集镇管理工作，领导、组织、协调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处理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集镇管理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工作。</w:t>
      </w:r>
    </w:p>
    <w:p w14:paraId="0B70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乡村规划部门牵头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负责集镇管理的具体工作，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管理监督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环境卫生、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清扫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保洁、垃圾清运、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垃圾处理费收取等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综合行政执法队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对违反集镇管理办法的行为进行查处。</w:t>
      </w:r>
    </w:p>
    <w:p w14:paraId="6A1A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集镇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清扫保洁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采取对外承包、市场化运作与政府补贴相结合的方式，实行有偿服务，集镇管理范围内的所有单位、商户以及摆摊设点的经营户，须按规定缴纳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垃圾处理费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743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47B5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第二章  集镇规划建设管理</w:t>
      </w:r>
    </w:p>
    <w:p w14:paraId="51A2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 任何单位和个人在集镇规划区新建或改（扩）建建筑物、构筑物的，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应当符合云龙乡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集镇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国土空间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总体规划（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2021—2035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，并按照相关程序到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乡自然资源所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和村镇规划建设服务中心办理手续，审批许可后方可开工建设。</w:t>
      </w:r>
    </w:p>
    <w:p w14:paraId="0B66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 任何单位和个人不得擅自在临街构筑物上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改扩建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阳台、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违规加层、私搭乱建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；临街铺面严禁临时搭建遮阴棚及雨棚，铺面前人行道、台阶等应当保持整洁，无堆物堆料。</w:t>
      </w:r>
    </w:p>
    <w:p w14:paraId="0A21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第七条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临街建筑物、构筑物外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立面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应当保持整洁和完好，有关单位和个人应及时修复沿街外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立面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破损及毁坏的建筑物、构筑物。</w:t>
      </w:r>
    </w:p>
    <w:p w14:paraId="7E78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 在集镇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规划区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内设置门头牌匾、标语牌、橱窗、霓虹灯、广告栏等，应当内容健康、外型美观，务必与街景相协调，做到整洁、美观、安全。凡色彩剥蚀、陈旧、危及安全的，有关单位和个人应及时维修、加固或拆除。</w:t>
      </w:r>
    </w:p>
    <w:p w14:paraId="6681886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第三章  环境卫生及公共设施管理</w:t>
      </w:r>
    </w:p>
    <w:p w14:paraId="434F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第九条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集镇环境卫生实行全天保洁，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清扫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区域以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人民政府与承包方签订合同约定的范围为准。</w:t>
      </w:r>
    </w:p>
    <w:p w14:paraId="6A01F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 xml:space="preserve">第十条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所有生活垃圾倒入沿街定点的垃圾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（桶），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由保洁公司集中转运处置。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严禁随意倾倒建筑垃圾，禁止在垃圾箱内烧垃圾。严禁随地吐痰、随地大小便、乱扔瓜皮果核、纸屑、烟头等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废弃物，禁止在公共场所焚烧垃圾以及其它产生有害气体的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val="en-US" w:eastAsia="zh-CN"/>
        </w:rPr>
        <w:t>行为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。</w:t>
      </w:r>
    </w:p>
    <w:p w14:paraId="7050BD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第十一条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街道临街门市商品应摆放整齐，不得设立“店外店”，所经营商品不得超出主体建筑物。沿街居民、单位实行门前“三包”管理责任制即负责门前卫生、绿化和秩序维护。</w:t>
      </w:r>
    </w:p>
    <w:p w14:paraId="45D1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“门前三包”的具体内容和要求：</w:t>
      </w:r>
    </w:p>
    <w:p w14:paraId="1752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包卫生。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自觉清扫门前及所辖区域内的卫生，保持环境卫生整洁、干净，不准向街面、下水道、排水沟乱丢各种垃圾物、死牲畜、有毒物等污染物品，同时按标准缴纳卫生费。自觉将垃圾倒入环卫作业附近的垃圾桶，做到商店、住户内垃圾不外扫、不乱堆、不乱扔、不乱倒，污水不乱泼，餐饮行业油烟排放不超过环保规定，劝阻他人在责任区内乱倒垃圾、乱扔废物等损害环境卫生的行为，共同维护好环卫公共设施。</w:t>
      </w:r>
    </w:p>
    <w:p w14:paraId="4AB9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二、包绿化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保护责任区内的花草树木、花坛、绿地等绿化设施。严禁故意损害花草树木和绿化设施；禁止攀折花木、践踏绿地，不得在树干、树枝上钉钉子和乱挂杂物；责任区内树坑、绿地内无垃圾、污水和杂物，无故意占用、污染绿地等行为。</w:t>
      </w:r>
    </w:p>
    <w:p w14:paraId="52A6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三、包秩序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积极维护责任区域内的良好秩序，门前经营秩序规范，无违规设置摊点、占道作业、占道经营等现象，无堆放杂物、乱搭乱建、乱挂乱晒等行为，无车辆占道停放，无占道休闲、生活、娱乐等行为，无噪音扰民和临街叫卖，无乱张贴户外小广告等“牛皮癣”。</w:t>
      </w:r>
    </w:p>
    <w:p w14:paraId="439A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第十二条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 任何单位和个人不得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破坏、损毁、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占用集镇交通、卫生、消防、电力、通讯、供水等公共基础设施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；严禁砍伐、破坏、损毁绿化树木。</w:t>
      </w:r>
    </w:p>
    <w:p w14:paraId="37CD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 xml:space="preserve">第十三条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任何单位和个人未经批准不得在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集镇规划区内道路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和公共场地堆放物料、构筑建筑物，因建设需要临时占用或构筑临时建筑物及其它设施的，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乡人民政府批准，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按批准的使用范围、时间执行，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并按规定缴纳占道费。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产生的杂物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废弃物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必须及时清运，临街工地必须设置封闭围墙或者其他安全施工设施，并做必要的覆盖，竣工后及时清理场地。</w:t>
      </w:r>
    </w:p>
    <w:p w14:paraId="5FEB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第十四条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对违规占用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集镇规划区内道路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和公共场地的，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乡人民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可以采取依法查封施工现场、扣押施工工具和强制拆除，书面通知供水、供电单位不予供水、供电等措施。</w:t>
      </w:r>
    </w:p>
    <w:p w14:paraId="67EDBCB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第十五条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集镇规划区内的所有街道、公共场所、住宅小区等区域，均严禁家禽散养。家禽饲养者为直接责任人，应严格遵守本规定，对所饲养家禽实施圈养或笼养，不得任其在禁止区域内自由活动。圈养或笼养设施应确保家禽无逃逸可能，并保持设施周边环境清洁卫生，及时清理粪便及其他污染物，防止异味扩散和疾病传播。</w:t>
      </w:r>
    </w:p>
    <w:p w14:paraId="135C7E6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第四章  交通及市场秩序管理</w:t>
      </w:r>
    </w:p>
    <w:p w14:paraId="4B63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第十六条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集镇内所有车辆必须停放在划好的停车位内，严禁乱停乱放、违规占用停车位，不得在划定泊车位或公共道路、人行横道及非停车场所停放废弃车辆。</w:t>
      </w:r>
    </w:p>
    <w:p w14:paraId="52F3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第十七条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非机动车辆应遵循相关规定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停放至划定车位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，不得占用公共通道；非营运车辆不得开展营运活动。</w:t>
      </w:r>
    </w:p>
    <w:p w14:paraId="531F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第十八条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进入集镇的车辆必须保持车容整洁，运输水泥、砂石料车辆，未做防尘、防散落和道路防污损处理的，严禁驶入辖区内所有硬化道路。履带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、压路机、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大型农机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等车辆禁止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驶入街道或其他硬化道路。</w:t>
      </w:r>
    </w:p>
    <w:p w14:paraId="78FD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第十九条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临时摊点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须服从乡人民政府的统一安排，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在指定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营业，产生的废弃物应当随时清扫放入垃圾箱，严禁随意倾倒，保持场地整洁。</w:t>
      </w:r>
    </w:p>
    <w:p w14:paraId="73BB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第二十条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、禽类、蔬菜、水果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等农副产品，引导进入标准化农贸市场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经营。</w:t>
      </w:r>
    </w:p>
    <w:p w14:paraId="09D586E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第五章  集镇污水及河道管理</w:t>
      </w:r>
    </w:p>
    <w:p w14:paraId="6C74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第二十一条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 禁止向河道、沟渠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及管理范围内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倾倒垃圾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及污染物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直接排放污水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；禁止将死畜死禽丢弃至河道、沟渠；严禁私自在河道、沟渠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及管理范围内乱占乱采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乱搭乱建；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严禁在河道电鱼、毒鱼、炸鱼等违法行为。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监督举报电话：087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68905099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63A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第二十二条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 集镇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规划区范围内的厕所、卫生间要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修建标准的三格化粪池。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生产的企业、商户、规模化养殖户要自建污水处理设施，按规定办理审批手续，污染物、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污水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排放达标后才能接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入排污管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网。</w:t>
      </w:r>
    </w:p>
    <w:p w14:paraId="6540632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第六章  责任追究</w:t>
      </w:r>
    </w:p>
    <w:p w14:paraId="2D3E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第二十三条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违反本办法规定的，由乡人民政府根据《云南省人民政府关于公布乡镇（街道）行政职权基本目录和赋予乡镇（街道）部分县级行政职权指导目录的决定》《禄劝彝族苗族自治县乡镇（街道）执法事项清单（2024年版）》的相关规定和法律法规予以处罚或者报上级主管部门予以处罚。</w:t>
      </w:r>
    </w:p>
    <w:p w14:paraId="03A3EB0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280" w:beforeLines="0" w:beforeAutospacing="0" w:after="290" w:afterLines="0" w:afterAutospacing="0" w:line="560" w:lineRule="exact"/>
        <w:jc w:val="center"/>
        <w:textAlignment w:val="auto"/>
        <w:outlineLvl w:val="3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第七章  附   则</w:t>
      </w:r>
    </w:p>
    <w:p w14:paraId="1F5D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第二十四条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本办法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云龙乡人民政府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负责解释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B9A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第二十五条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本办法经乡人民政府会议讨论研究决定，自公布之日起30日后施行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E3FD6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/>
        </w:rPr>
      </w:pPr>
    </w:p>
    <w:p w14:paraId="4C3E61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 w14:paraId="3D0BCA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/>
        </w:rPr>
      </w:pPr>
    </w:p>
    <w:p w14:paraId="2A33E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F7668D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3DD9371"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8202591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FD95E17"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63DA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94" w:right="1474" w:bottom="184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0A20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3A59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3A59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　</w:t>
    </w:r>
  </w:p>
  <w:p w14:paraId="5881986D">
    <w:pPr>
      <w:pStyle w:val="5"/>
      <w:wordWrap/>
      <w:ind w:left="3963" w:leftChars="0" w:firstLine="7225" w:firstLineChars="0"/>
      <w:jc w:val="both"/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  <w:lang w:val="en-US" w:eastAsia="zh-CN"/>
      </w:rPr>
      <w:t>禄劝彝族苗族自治县人民政府发布</w:t>
    </w:r>
  </w:p>
  <w:p w14:paraId="50830D58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5718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866CFA4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禄劝彝族苗族自治县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6764D00"/>
    <w:rsid w:val="080F63D8"/>
    <w:rsid w:val="09341458"/>
    <w:rsid w:val="0B0912D7"/>
    <w:rsid w:val="0BA415F1"/>
    <w:rsid w:val="11883AE7"/>
    <w:rsid w:val="152D2DCA"/>
    <w:rsid w:val="1DEC284C"/>
    <w:rsid w:val="1E6523AC"/>
    <w:rsid w:val="1F1C2891"/>
    <w:rsid w:val="22123047"/>
    <w:rsid w:val="22440422"/>
    <w:rsid w:val="286974D2"/>
    <w:rsid w:val="2E824FDB"/>
    <w:rsid w:val="2FB55CA7"/>
    <w:rsid w:val="3139236B"/>
    <w:rsid w:val="31A15F24"/>
    <w:rsid w:val="352C0B0D"/>
    <w:rsid w:val="374F548F"/>
    <w:rsid w:val="37EF2001"/>
    <w:rsid w:val="395347B5"/>
    <w:rsid w:val="39A232A0"/>
    <w:rsid w:val="39E745AA"/>
    <w:rsid w:val="3B5A6BBB"/>
    <w:rsid w:val="3B6B354D"/>
    <w:rsid w:val="3EDA13A6"/>
    <w:rsid w:val="403169EE"/>
    <w:rsid w:val="42F058B7"/>
    <w:rsid w:val="436109F6"/>
    <w:rsid w:val="441A38D4"/>
    <w:rsid w:val="456A52DF"/>
    <w:rsid w:val="4674425F"/>
    <w:rsid w:val="47B5215D"/>
    <w:rsid w:val="4BC77339"/>
    <w:rsid w:val="4C9236C5"/>
    <w:rsid w:val="4F6F2B58"/>
    <w:rsid w:val="4F701229"/>
    <w:rsid w:val="4FEE1EAF"/>
    <w:rsid w:val="505C172E"/>
    <w:rsid w:val="52F46F0B"/>
    <w:rsid w:val="53D8014D"/>
    <w:rsid w:val="54AC7EE9"/>
    <w:rsid w:val="55E064E0"/>
    <w:rsid w:val="572C6D10"/>
    <w:rsid w:val="58015D9C"/>
    <w:rsid w:val="5B916663"/>
    <w:rsid w:val="5CD52C4B"/>
    <w:rsid w:val="5DC34279"/>
    <w:rsid w:val="608816D1"/>
    <w:rsid w:val="60992378"/>
    <w:rsid w:val="60EF4E7F"/>
    <w:rsid w:val="665233C1"/>
    <w:rsid w:val="686E2753"/>
    <w:rsid w:val="69793D53"/>
    <w:rsid w:val="69AD5DDB"/>
    <w:rsid w:val="6AD9688B"/>
    <w:rsid w:val="6D0E3F22"/>
    <w:rsid w:val="6FAE0DE5"/>
    <w:rsid w:val="7014648B"/>
    <w:rsid w:val="707068E8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实施方案正文"/>
    <w:basedOn w:val="1"/>
    <w:qFormat/>
    <w:uiPriority w:val="0"/>
    <w:pPr>
      <w:ind w:firstLine="566" w:firstLineChars="202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19fc134c-6732-4416-870e-7c4053ee1164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 B705CB1</paraID>
      <start>25</start>
      <end>26</end>
      <status>unmodified</status>
      <modifiedWord/>
      <trackRevisions>false</trackRevisions>
    </reviewItem>
    <reviewItem>
      <errorID>51547577-393f-4967-bb02-adfd42fb7a3b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 A21C712</paraID>
      <start>33</start>
      <end>34</end>
      <status>unmodified</status>
      <modifiedWord/>
      <trackRevisions>false</trackRevisions>
    </reviewItem>
    <reviewItem>
      <errorID>41b999e7-c127-478a-bedf-8db7441da29d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7E78DE44</paraID>
      <start>41</start>
      <end>43</end>
      <status>unmodified</status>
      <modifiedWord/>
      <trackRevisions>false</trackRevisions>
    </reviewItem>
    <reviewItem>
      <errorID>5d47f86e-cfe7-4f65-b564-988e21f174f4</errorID>
      <errorWord>垃圾物</errorWord>
      <group>L1_Word</group>
      <groupName>字词问题</groupName>
      <ability>L2_Typo</ability>
      <abilityName>字词错误</abilityName>
      <candidateList>
        <item>垃圾</item>
      </candidateList>
      <explain/>
      <paraID>17526D02</paraID>
      <start>51</start>
      <end>54</end>
      <status>unmodified</status>
      <modifiedWord/>
      <trackRevisions>false</trackRevisions>
    </reviewItem>
    <reviewItem>
      <errorID>748ea51b-db30-4cae-a9e0-d909b81740f1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37CDB0EE</paraID>
      <start>66</start>
      <end>67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1a7685-9b52-401b-8ce3-12ad6f5b5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2660</Words>
  <Characters>2687</Characters>
  <Lines>1</Lines>
  <Paragraphs>1</Paragraphs>
  <TotalTime>5</TotalTime>
  <ScaleCrop>false</ScaleCrop>
  <LinksUpToDate>false</LinksUpToDate>
  <CharactersWithSpaces>2798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李云龙</cp:lastModifiedBy>
  <cp:lastPrinted>2021-10-26T03:30:00Z</cp:lastPrinted>
  <dcterms:modified xsi:type="dcterms:W3CDTF">2025-12-11T02:06:37Z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D4CE31A58FA9476AAC987E84392ECC4D_13</vt:lpwstr>
  </property>
  <property fmtid="{D5CDD505-2E9C-101B-9397-08002B2CF9AE}" pid="4" name="KSOTemplateDocerSaveRecord">
    <vt:lpwstr>eyJoZGlkIjoiNjI1OTllN2RiYjMxZmUwYTc1MGYyNzgxYTcwYWEwNjIiLCJ1c2VySWQiOiIxNjE2MzQ1MTU1In0=</vt:lpwstr>
  </property>
</Properties>
</file>