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ind w:left="0" w:leftChars="0" w:firstLine="0" w:firstLineChars="0"/>
        <w:jc w:val="center"/>
        <w:rPr>
          <w:rFonts w:hint="eastAsia"/>
          <w:lang w:val="en-US" w:eastAsia="zh-CN"/>
        </w:rPr>
      </w:pPr>
      <w:r>
        <w:rPr>
          <w:rFonts w:hint="eastAsia"/>
          <w:lang w:eastAsia="zh-CN"/>
        </w:rPr>
        <w:t>禄劝彝族苗族自治县县本级</w:t>
      </w:r>
      <w:r>
        <w:rPr>
          <w:rFonts w:hint="eastAsia"/>
          <w:lang w:val="en-US" w:eastAsia="zh-CN"/>
        </w:rPr>
        <w:t>2024年度</w:t>
      </w:r>
    </w:p>
    <w:p>
      <w:pPr>
        <w:pStyle w:val="4"/>
        <w:bidi w:val="0"/>
        <w:rPr>
          <w:rFonts w:hint="eastAsia"/>
          <w:lang w:val="en-US" w:eastAsia="zh-CN"/>
        </w:rPr>
      </w:pPr>
      <w:r>
        <w:rPr>
          <w:rFonts w:hint="eastAsia"/>
          <w:lang w:val="en-US" w:eastAsia="zh-CN"/>
        </w:rPr>
        <w:t>“三公”经费决算情况</w:t>
      </w:r>
    </w:p>
    <w:p>
      <w:pPr>
        <w:rPr>
          <w:rFonts w:hint="eastAsia"/>
          <w:sz w:val="32"/>
          <w:szCs w:val="32"/>
          <w:lang w:val="en-US" w:eastAsia="zh-CN"/>
        </w:rPr>
      </w:pPr>
      <w:r>
        <w:rPr>
          <w:rFonts w:hint="eastAsia"/>
          <w:sz w:val="32"/>
          <w:szCs w:val="32"/>
          <w:lang w:val="en-US" w:eastAsia="zh-CN"/>
        </w:rPr>
        <w:t>根据《中华人民共和国预算法》及其实施条例、《财政部关于印发〈地方预决算公开操作规程〉的通知》（财预〔2016〕143号）和《中共云南省委办公厅云南省人民政府办公厅印发〈关于进一步推进预算公开工作的实施意见〉的通知》（云办发〔2016〕29号）有关要求，禄劝彝族苗族自治县财政局对2024年度纳入县本级部门决算管理的149户单位（其中：一级预算单位83户、二级预算单位66户）上报的一般公共预算财政拨款安排的“三公”经费决算进行汇总，现将禄劝县全县149户独立核算的行政事业单位数据2024年度“三公”经费决算汇总情况公开如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left"/>
        <w:rPr>
          <w:rFonts w:hint="eastAsia" w:ascii="黑体" w:hAnsi="宋体" w:eastAsia="黑体" w:cs="黑体"/>
          <w:i w:val="0"/>
          <w:iCs w:val="0"/>
          <w:caps w:val="0"/>
          <w:color w:val="212529"/>
          <w:spacing w:val="0"/>
          <w:kern w:val="0"/>
          <w:sz w:val="32"/>
          <w:szCs w:val="32"/>
          <w:shd w:val="clear" w:fill="FFFFFF"/>
          <w:lang w:val="en-US" w:eastAsia="zh-CN" w:bidi="ar"/>
        </w:rPr>
      </w:pPr>
      <w:r>
        <w:rPr>
          <w:rFonts w:hint="eastAsia" w:ascii="黑体" w:hAnsi="宋体" w:eastAsia="黑体" w:cs="黑体"/>
          <w:i w:val="0"/>
          <w:iCs w:val="0"/>
          <w:caps w:val="0"/>
          <w:color w:val="212529"/>
          <w:spacing w:val="0"/>
          <w:kern w:val="0"/>
          <w:sz w:val="32"/>
          <w:szCs w:val="32"/>
          <w:shd w:val="clear" w:fill="FFFFFF"/>
          <w:lang w:val="en-US" w:eastAsia="zh-CN" w:bidi="ar"/>
        </w:rPr>
        <w:t>与年初预算对比情况</w:t>
      </w:r>
    </w:p>
    <w:p>
      <w:pPr>
        <w:bidi w:val="0"/>
        <w:rPr>
          <w:rFonts w:hint="eastAsia"/>
          <w:lang w:val="en-US" w:eastAsia="zh-CN"/>
        </w:rPr>
      </w:pPr>
      <w:r>
        <w:rPr>
          <w:rFonts w:hint="eastAsia"/>
          <w:lang w:val="en-US" w:eastAsia="zh-CN"/>
        </w:rPr>
        <w:t>2024年度，县本级一般公共预算财政拨款“三公”经费年初预算汇总数为551.11万元，决算汇总数468.11万元，完成年初预算的84.94%。分具体项目看：因公出国（境）费年初预算0万元，决算0万元，完成年初预算的0%。公务用车购置费年初预算18.00万元，决算0万元，完成年初预算的0%。公务用车运行维护费年初预算430.32万元，决算449.77万元，完成年初预算的104.52%。公务接待费年初预算102.79万元，决算18.34万元，完成年初预算的17.84%。县本级一般公共预算财政拨款“三公”经费决算汇总数未超年初预算数。决算数小于年初预算数主要是因为各部门严格落实政府带头“过紧日子”的要求，在预算执行过程中严控“三公”经费支出，大力压减公务用车运行维护费和公务接待费支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600"/>
        <w:jc w:val="left"/>
        <w:rPr>
          <w:rFonts w:hint="eastAsia" w:ascii="黑体" w:hAnsi="宋体" w:eastAsia="黑体" w:cs="黑体"/>
          <w:i w:val="0"/>
          <w:iCs w:val="0"/>
          <w:caps w:val="0"/>
          <w:color w:val="212529"/>
          <w:spacing w:val="0"/>
          <w:kern w:val="0"/>
          <w:sz w:val="32"/>
          <w:szCs w:val="32"/>
          <w:shd w:val="clear" w:fill="FFFFFF"/>
          <w:lang w:val="en-US" w:eastAsia="zh-CN" w:bidi="ar"/>
        </w:rPr>
      </w:pPr>
      <w:r>
        <w:rPr>
          <w:rFonts w:hint="eastAsia" w:ascii="黑体" w:hAnsi="宋体" w:eastAsia="黑体" w:cs="黑体"/>
          <w:i w:val="0"/>
          <w:iCs w:val="0"/>
          <w:caps w:val="0"/>
          <w:color w:val="212529"/>
          <w:spacing w:val="0"/>
          <w:kern w:val="0"/>
          <w:sz w:val="32"/>
          <w:szCs w:val="32"/>
          <w:shd w:val="clear" w:fill="FFFFFF"/>
          <w:lang w:val="en-US" w:eastAsia="zh-CN" w:bidi="ar"/>
        </w:rPr>
        <w:t>与上年决算数对比情况</w:t>
      </w:r>
    </w:p>
    <w:p>
      <w:pPr>
        <w:rPr>
          <w:rFonts w:hint="eastAsia"/>
          <w:sz w:val="32"/>
          <w:szCs w:val="32"/>
          <w:highlight w:val="none"/>
          <w:lang w:val="en-US" w:eastAsia="zh-CN"/>
        </w:rPr>
      </w:pPr>
      <w:r>
        <w:rPr>
          <w:rFonts w:hint="eastAsia"/>
          <w:sz w:val="32"/>
          <w:szCs w:val="32"/>
          <w:highlight w:val="none"/>
          <w:lang w:val="en-US" w:eastAsia="zh-CN"/>
        </w:rPr>
        <w:t>2024年度，县本级一般公共预算财政拨款“三公”经费支出决算汇总数468.11万元，较上年度569.55万元减少101.44万元，下降17.81%（详见附件）。具体项目变动情况如下：公务用车购置费0万元，较上年度125.48万元减少125.48万元，下降100%，全年购置公务用车0辆。公务用车运行维护费449.77万元，较上年度352.68万元增加97.09万元，增长27.53%，年末公务用车保有量327辆。公务接待费18.34万元，较上年度91.39万元减少73.05万元，下降79.93%，全年公务接待217批次（含外事接待0批次），接待2150人次（含外事接待0人次）。县本级2024年度“三公”经费决算汇总数和各分项数据除公务用车运行维护费外较上年度均有所下降。</w:t>
      </w:r>
    </w:p>
    <w:p>
      <w:pPr>
        <w:keepNext w:val="0"/>
        <w:keepLines w:val="0"/>
        <w:pageBreakBefore w:val="0"/>
        <w:widowControl w:val="0"/>
        <w:numPr>
          <w:ilvl w:val="0"/>
          <w:numId w:val="0"/>
        </w:numPr>
        <w:pBdr>
          <w:top w:val="single" w:color="FFFFFF" w:sz="4" w:space="2"/>
          <w:left w:val="single" w:color="FFFFFF" w:sz="4" w:space="0"/>
          <w:bottom w:val="single" w:color="FFFFFF" w:sz="4" w:space="15"/>
          <w:right w:val="single" w:color="FFFFFF" w:sz="4" w:space="11"/>
        </w:pBdr>
        <w:kinsoku/>
        <w:wordWrap/>
        <w:overflowPunct/>
        <w:topLinePunct w:val="0"/>
        <w:autoSpaceDE w:val="0"/>
        <w:autoSpaceDN w:val="0"/>
        <w:bidi w:val="0"/>
        <w:adjustRightInd/>
        <w:snapToGrid/>
        <w:spacing w:line="560" w:lineRule="exact"/>
        <w:ind w:left="0" w:leftChars="0" w:firstLine="640" w:firstLineChars="200"/>
        <w:textAlignment w:val="baseline"/>
        <w:outlineLvl w:val="0"/>
        <w:rPr>
          <w:rFonts w:hint="eastAsia"/>
          <w:sz w:val="32"/>
          <w:szCs w:val="32"/>
          <w:highlight w:val="none"/>
          <w:lang w:val="en-US" w:eastAsia="zh-CN"/>
        </w:rPr>
      </w:pPr>
      <w:r>
        <w:rPr>
          <w:rFonts w:hint="default" w:ascii="Times New Roman" w:hAnsi="Times New Roman" w:eastAsia="仿宋_GB2312" w:cs="Times New Roman"/>
          <w:sz w:val="32"/>
          <w:szCs w:val="32"/>
        </w:rPr>
        <w:t>禄劝县全县部门汇总“三公”经费单独公开网址为</w:t>
      </w:r>
      <w:r>
        <w:rPr>
          <w:rFonts w:hint="eastAsia" w:ascii="Times New Roman" w:hAnsi="Times New Roman" w:eastAsia="仿宋_GB2312" w:cs="Times New Roman"/>
          <w:sz w:val="32"/>
          <w:szCs w:val="32"/>
          <w:lang w:eastAsia="zh-CN"/>
        </w:rPr>
        <w:t>（http://www.kmlq.gov.cn/c/2025-10-13/7061552.shtml</w:t>
      </w:r>
      <w:bookmarkStart w:id="0" w:name="_GoBack"/>
      <w:bookmarkEnd w:id="0"/>
      <w:r>
        <w:rPr>
          <w:rFonts w:hint="eastAsia" w:ascii="Times New Roman" w:hAnsi="Times New Roman" w:eastAsia="仿宋_GB2312" w:cs="Times New Roman"/>
          <w:sz w:val="32"/>
          <w:szCs w:val="32"/>
          <w:lang w:eastAsia="zh-CN"/>
        </w:rPr>
        <w:t>）</w:t>
      </w:r>
    </w:p>
    <w:p>
      <w:pPr>
        <w:rPr>
          <w:rFonts w:hint="eastAsia"/>
          <w:sz w:val="32"/>
          <w:szCs w:val="32"/>
          <w:lang w:val="en-US" w:eastAsia="zh-CN"/>
        </w:rPr>
      </w:pPr>
    </w:p>
    <w:p>
      <w:pPr>
        <w:rPr>
          <w:rFonts w:hint="eastAsia"/>
          <w:sz w:val="32"/>
          <w:szCs w:val="32"/>
          <w:lang w:val="en-US" w:eastAsia="zh-CN"/>
        </w:rPr>
      </w:pPr>
    </w:p>
    <w:sectPr>
      <w:pgSz w:w="11906" w:h="16838"/>
      <w:pgMar w:top="2098" w:right="1531" w:bottom="198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script"/>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59AD0"/>
    <w:multiLevelType w:val="singleLevel"/>
    <w:tmpl w:val="58159A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31CDD"/>
    <w:rsid w:val="038413BF"/>
    <w:rsid w:val="12FB30BA"/>
    <w:rsid w:val="18603D59"/>
    <w:rsid w:val="196406B5"/>
    <w:rsid w:val="2C876629"/>
    <w:rsid w:val="2D8E7913"/>
    <w:rsid w:val="3C1F1B5B"/>
    <w:rsid w:val="42146CED"/>
    <w:rsid w:val="520E49FA"/>
    <w:rsid w:val="5C684CA7"/>
    <w:rsid w:val="60412DF2"/>
    <w:rsid w:val="63C31CDD"/>
    <w:rsid w:val="6AF005EB"/>
    <w:rsid w:val="71B1639A"/>
    <w:rsid w:val="73B01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keepNext/>
      <w:keepLines/>
      <w:numPr>
        <w:ilvl w:val="0"/>
        <w:numId w:val="0"/>
      </w:numPr>
      <w:tabs>
        <w:tab w:val="left" w:pos="567"/>
      </w:tabs>
      <w:spacing w:before="100" w:beforeLines="100" w:beforeAutospacing="0" w:after="100" w:afterLines="100" w:afterAutospacing="0" w:line="560" w:lineRule="exact"/>
      <w:jc w:val="center"/>
      <w:outlineLvl w:val="0"/>
    </w:pPr>
    <w:rPr>
      <w:rFonts w:ascii="Times New Roman" w:hAnsi="Times New Roman"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实施方案正文"/>
    <w:basedOn w:val="3"/>
    <w:unhideWhenUsed/>
    <w:qFormat/>
    <w:uiPriority w:val="0"/>
    <w:pPr>
      <w:ind w:firstLine="566" w:firstLineChars="202"/>
    </w:pPr>
    <w:rPr>
      <w:rFonts w:hint="eastAsia" w:ascii="等线" w:hAnsi="等线" w:eastAsia="等线"/>
      <w:sz w:val="21"/>
    </w:rPr>
  </w:style>
  <w:style w:type="paragraph" w:customStyle="1" w:styleId="3">
    <w:name w:val="正文 New"/>
    <w:next w:val="2"/>
    <w:qFormat/>
    <w:uiPriority w:val="0"/>
    <w:pPr>
      <w:widowControl w:val="0"/>
      <w:spacing w:line="588" w:lineRule="exact"/>
      <w:ind w:firstLine="200" w:firstLineChars="200"/>
      <w:jc w:val="both"/>
    </w:pPr>
    <w:rPr>
      <w:rFonts w:ascii="Times New Roman" w:hAnsi="Times New Roman" w:eastAsia="方正仿宋_GBK" w:cs="Calibri"/>
      <w:kern w:val="2"/>
      <w:sz w:val="30"/>
      <w:szCs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昆明市禄劝县党政机关单位</Company>
  <Pages>2</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2024-11-01T08:01:00Z</dcterms:created>
  <dc:creator>Administrator</dc:creator>
  <cp:lastModifiedBy>Administrator</cp:lastModifiedBy>
  <dcterms:modified xsi:type="dcterms:W3CDTF">2025-10-13T02:28:31Z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474E07A5483A4409B575A372EEF935B4_13</vt:lpwstr>
  </property>
</Properties>
</file>