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新宋体" w:hAnsi="新宋体" w:eastAsia="新宋体" w:cs="新宋体"/>
          <w:b/>
          <w:bCs/>
          <w:color w:val="auto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昆明市餐饮行业选址负面清单筛选指导意见</w:t>
      </w:r>
    </w:p>
    <w:p>
      <w:pPr>
        <w:jc w:val="center"/>
        <w:rPr>
          <w:rFonts w:ascii="新宋体" w:hAnsi="新宋体" w:eastAsia="新宋体" w:cs="新宋体"/>
          <w:b/>
          <w:bCs/>
          <w:color w:val="auto"/>
          <w:sz w:val="36"/>
          <w:szCs w:val="36"/>
        </w:rPr>
      </w:pPr>
      <w:r>
        <w:rPr>
          <w:rFonts w:hint="eastAsia" w:ascii="新宋体" w:hAnsi="新宋体" w:eastAsia="新宋体" w:cs="新宋体"/>
          <w:b/>
          <w:bCs/>
          <w:color w:val="auto"/>
          <w:sz w:val="36"/>
          <w:szCs w:val="36"/>
        </w:rPr>
        <w:t>（试行）</w:t>
      </w:r>
    </w:p>
    <w:p>
      <w:pPr>
        <w:jc w:val="center"/>
        <w:rPr>
          <w:rFonts w:ascii="新宋体" w:hAnsi="新宋体" w:eastAsia="新宋体" w:cs="新宋体"/>
          <w:b/>
          <w:bCs/>
          <w:color w:val="auto"/>
          <w:sz w:val="36"/>
          <w:szCs w:val="36"/>
        </w:rPr>
      </w:pP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为从源头</w:t>
      </w:r>
      <w:r>
        <w:rPr>
          <w:rFonts w:cs="Arial" w:asciiTheme="minorEastAsia" w:hAnsiTheme="minorEastAsia"/>
          <w:color w:val="auto"/>
          <w:sz w:val="28"/>
          <w:szCs w:val="28"/>
        </w:rPr>
        <w:t>防治餐饮业造成的环境污染</w:t>
      </w:r>
      <w:r>
        <w:rPr>
          <w:rFonts w:hint="eastAsia"/>
          <w:color w:val="auto"/>
          <w:sz w:val="28"/>
          <w:szCs w:val="28"/>
        </w:rPr>
        <w:t>，</w:t>
      </w:r>
      <w:r>
        <w:rPr>
          <w:rFonts w:cs="Arial" w:asciiTheme="minorEastAsia" w:hAnsiTheme="minorEastAsia"/>
          <w:color w:val="auto"/>
          <w:sz w:val="28"/>
          <w:szCs w:val="28"/>
        </w:rPr>
        <w:t>保护和改善生活环境与生态环境，</w:t>
      </w:r>
      <w:r>
        <w:rPr>
          <w:rFonts w:hint="eastAsia"/>
          <w:color w:val="auto"/>
          <w:sz w:val="28"/>
          <w:szCs w:val="28"/>
        </w:rPr>
        <w:t>加强城市管理，提升城市品位，改善城市人居环境，</w:t>
      </w:r>
      <w:r>
        <w:rPr>
          <w:rFonts w:cs="Arial" w:asciiTheme="minorEastAsia" w:hAnsiTheme="minorEastAsia"/>
          <w:color w:val="auto"/>
          <w:sz w:val="28"/>
          <w:szCs w:val="28"/>
        </w:rPr>
        <w:t>促进社会经济的可持续发展，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特</w:t>
      </w:r>
      <w:r>
        <w:rPr>
          <w:rFonts w:cs="Arial" w:asciiTheme="minorEastAsia" w:hAnsiTheme="minorEastAsia"/>
          <w:color w:val="auto"/>
          <w:sz w:val="28"/>
          <w:szCs w:val="28"/>
        </w:rPr>
        <w:t>制定本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指导意见</w:t>
      </w:r>
      <w:r>
        <w:rPr>
          <w:rFonts w:cs="Arial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第一条 </w:t>
      </w:r>
      <w:r>
        <w:rPr>
          <w:rFonts w:cs="Arial" w:asciiTheme="minorEastAsia" w:hAnsiTheme="minorEastAsia"/>
          <w:color w:val="auto"/>
          <w:sz w:val="28"/>
          <w:szCs w:val="28"/>
        </w:rPr>
        <w:t>根据《中华人民共和国环境保护法》《中华人民共和国水污染防治法》《中华人民共和国大气污染防治法》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《中华人民共和国固体废物污染环境防治法》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《城镇排水与污水处理条例》《城镇污水排入排水管网许可管理办法》《</w:t>
      </w:r>
      <w:r>
        <w:rPr>
          <w:rFonts w:cs="Arial" w:asciiTheme="minorEastAsia" w:hAnsiTheme="minorEastAsia"/>
          <w:color w:val="auto"/>
          <w:sz w:val="28"/>
          <w:szCs w:val="28"/>
        </w:rPr>
        <w:t>云南省大气污染防治条例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》《昆明市城镇排水与污水处理条例》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《昆明市餐厨废弃物管理办法》、《昆明市餐饮业环境污染防治管理办法》</w:t>
      </w:r>
      <w:r>
        <w:rPr>
          <w:rFonts w:cs="Arial" w:asciiTheme="minorEastAsia" w:hAnsiTheme="minorEastAsia"/>
          <w:color w:val="auto"/>
          <w:sz w:val="28"/>
          <w:szCs w:val="28"/>
        </w:rPr>
        <w:t>等相关规定，结合本市实际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，</w:t>
      </w:r>
      <w:r>
        <w:rPr>
          <w:rFonts w:cs="Arial" w:asciiTheme="minorEastAsia" w:hAnsiTheme="minorEastAsia"/>
          <w:color w:val="auto"/>
          <w:sz w:val="28"/>
          <w:szCs w:val="28"/>
        </w:rPr>
        <w:t>制定本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指导意见。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第二条 </w:t>
      </w:r>
      <w:r>
        <w:rPr>
          <w:rFonts w:cs="Arial" w:asciiTheme="minorEastAsia" w:hAnsiTheme="minorEastAsia"/>
          <w:color w:val="auto"/>
          <w:sz w:val="28"/>
          <w:szCs w:val="28"/>
        </w:rPr>
        <w:t>本市行政区域内餐饮业环境污染防治及其监督管理活动适用本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指导意见</w:t>
      </w:r>
      <w:r>
        <w:rPr>
          <w:rFonts w:cs="Arial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第三条 </w:t>
      </w:r>
      <w:r>
        <w:rPr>
          <w:rFonts w:cs="Arial" w:asciiTheme="minorEastAsia" w:hAnsiTheme="minorEastAsia"/>
          <w:color w:val="auto"/>
          <w:sz w:val="28"/>
          <w:szCs w:val="28"/>
        </w:rPr>
        <w:t>本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指导意见适用从事爆炒、煎炸、烧烤、火锅等油烟（噪音）排放大，污水排放多，餐厨废弃物、废油产生量大的餐饮服务单位。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第四条 根据周边环境敏感程度、商业繁荣程度等差异，将我市建成区划分为禁止</w:t>
      </w:r>
      <w:r>
        <w:rPr>
          <w:rFonts w:hint="eastAsia"/>
          <w:color w:val="auto"/>
          <w:sz w:val="28"/>
          <w:szCs w:val="28"/>
          <w:lang w:eastAsia="zh-CN"/>
        </w:rPr>
        <w:t>建设</w:t>
      </w:r>
      <w:r>
        <w:rPr>
          <w:rFonts w:hint="eastAsia"/>
          <w:color w:val="auto"/>
          <w:sz w:val="28"/>
          <w:szCs w:val="28"/>
        </w:rPr>
        <w:t>区、</w:t>
      </w:r>
      <w:r>
        <w:rPr>
          <w:rFonts w:hint="eastAsia"/>
          <w:color w:val="auto"/>
          <w:sz w:val="28"/>
          <w:szCs w:val="28"/>
          <w:lang w:eastAsia="zh-CN"/>
        </w:rPr>
        <w:t>重点管理</w:t>
      </w:r>
      <w:r>
        <w:rPr>
          <w:rFonts w:hint="eastAsia"/>
          <w:color w:val="auto"/>
          <w:sz w:val="28"/>
          <w:szCs w:val="28"/>
        </w:rPr>
        <w:t>区和一般区域(具体分类详见附件)，根据区域发展，逐步完善并作相应的调整。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第五条 禁止建设区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cs="Arial" w:asciiTheme="minorEastAsia" w:hAnsiTheme="minorEastAsia" w:eastAsiaTheme="minorEastAsia"/>
          <w:color w:val="auto"/>
          <w:sz w:val="28"/>
          <w:szCs w:val="28"/>
        </w:rPr>
      </w:pPr>
      <w:r>
        <w:rPr>
          <w:rFonts w:cs="Arial" w:asciiTheme="minorEastAsia" w:hAnsiTheme="minorEastAsia" w:eastAsiaTheme="minorEastAsia"/>
          <w:color w:val="auto"/>
          <w:sz w:val="28"/>
          <w:szCs w:val="28"/>
        </w:rPr>
        <w:t>（一）居民住宅楼；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cs="Arial" w:asciiTheme="minorEastAsia" w:hAnsiTheme="minorEastAsia" w:eastAsiaTheme="minorEastAsia"/>
          <w:color w:val="auto"/>
          <w:sz w:val="28"/>
          <w:szCs w:val="28"/>
        </w:rPr>
      </w:pPr>
      <w:r>
        <w:rPr>
          <w:rFonts w:cs="Arial" w:asciiTheme="minorEastAsia" w:hAnsiTheme="minorEastAsia" w:eastAsiaTheme="minorEastAsia"/>
          <w:color w:val="auto"/>
          <w:sz w:val="28"/>
          <w:szCs w:val="28"/>
        </w:rPr>
        <w:t>（二）未配套设立专用烟道的商住综合楼；</w:t>
      </w:r>
    </w:p>
    <w:p>
      <w:pPr>
        <w:pStyle w:val="4"/>
        <w:shd w:val="clear" w:color="auto" w:fill="FFFFFF"/>
        <w:spacing w:before="0" w:beforeAutospacing="0" w:after="0" w:afterAutospacing="0"/>
        <w:ind w:firstLine="560" w:firstLineChars="200"/>
        <w:rPr>
          <w:rFonts w:cs="Arial" w:asciiTheme="minorEastAsia" w:hAnsiTheme="minorEastAsia" w:eastAsiaTheme="minorEastAsia"/>
          <w:color w:val="auto"/>
          <w:sz w:val="28"/>
          <w:szCs w:val="28"/>
        </w:rPr>
      </w:pPr>
      <w:r>
        <w:rPr>
          <w:rFonts w:cs="Arial" w:asciiTheme="minorEastAsia" w:hAnsiTheme="minorEastAsia" w:eastAsiaTheme="minorEastAsia"/>
          <w:color w:val="auto"/>
          <w:sz w:val="28"/>
          <w:szCs w:val="28"/>
        </w:rPr>
        <w:t>（三）商住综合楼内与居住层相邻的商业楼层；</w:t>
      </w:r>
    </w:p>
    <w:p>
      <w:pPr>
        <w:pStyle w:val="4"/>
        <w:shd w:val="clear" w:color="auto" w:fill="FFFFFF"/>
        <w:spacing w:before="0" w:beforeAutospacing="0" w:after="0" w:afterAutospacing="0"/>
        <w:ind w:firstLine="560"/>
        <w:rPr>
          <w:rFonts w:cs="Arial" w:asciiTheme="minorEastAsia" w:hAnsiTheme="minorEastAsia" w:eastAsiaTheme="minorEastAsia"/>
          <w:color w:val="auto"/>
          <w:sz w:val="28"/>
          <w:szCs w:val="28"/>
        </w:rPr>
      </w:pPr>
      <w:r>
        <w:rPr>
          <w:rFonts w:cs="Arial" w:asciiTheme="minorEastAsia" w:hAnsiTheme="minorEastAsia" w:eastAsiaTheme="minorEastAsia"/>
          <w:color w:val="auto"/>
          <w:sz w:val="28"/>
          <w:szCs w:val="28"/>
        </w:rPr>
        <w:t>（四）博物馆、图书馆、档案馆、展览馆等的主体建筑；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（五）饮用水水源保护区、自然保护区、出入滇池河道管理范围内的船舶、船坞等水上设施以及其他需要特殊保护区域的禁建区。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第六条 禁止建设区管理要求</w:t>
      </w:r>
    </w:p>
    <w:p>
      <w:pPr>
        <w:ind w:firstLine="840" w:firstLineChars="300"/>
        <w:rPr>
          <w:rFonts w:hint="default" w:cs="Arial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cs="Arial" w:asciiTheme="minorEastAsia" w:hAnsiTheme="minorEastAsia"/>
          <w:color w:val="auto"/>
          <w:sz w:val="28"/>
          <w:szCs w:val="28"/>
        </w:rPr>
        <w:t>严禁新建、改建、扩建产生油烟、异味、废气等污染的餐饮业项目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hint="eastAsia" w:cs="Arial" w:asciiTheme="minorEastAsia" w:hAnsiTheme="minorEastAsia" w:eastAsiaTheme="minorEastAsia"/>
          <w:color w:val="FF0000"/>
          <w:sz w:val="28"/>
          <w:szCs w:val="28"/>
          <w:lang w:eastAsia="zh-CN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第七条 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重点管理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区</w:t>
      </w:r>
      <w:r>
        <w:rPr>
          <w:rFonts w:hint="eastAsia" w:cs="Arial" w:asciiTheme="minorEastAsia" w:hAnsiTheme="minorEastAsia"/>
          <w:color w:val="FF0000"/>
          <w:sz w:val="28"/>
          <w:szCs w:val="28"/>
          <w:lang w:eastAsia="zh-CN"/>
        </w:rPr>
        <w:t>管理要求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（一）居民住宅、学校、医院等大气、噪声环境敏感点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主体建筑30米范围内；</w:t>
      </w:r>
      <w:bookmarkStart w:id="0" w:name="_GoBack"/>
      <w:bookmarkEnd w:id="0"/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 xml:space="preserve">（二）经油烟净化处理后油烟排放口与周边大气、噪声环境敏感点距离小于20米区域； 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（三）排水管网尚未覆盖的区域；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（四）虽然排水管网覆盖，但管网未接通污水处理厂（含集镇、村庄污水处理厂、站、设施）的区域；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（五）排水管网尚未覆盖的区域，餐饮业经营户自建污水处理设施，污水完全收集处理，外排污水水质指标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val="en-US" w:eastAsia="zh-CN"/>
        </w:rPr>
        <w:t>不能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达到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eastAsia="zh-CN"/>
        </w:rPr>
        <w:t>生态环境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  <w:t>、水务要求的；</w:t>
      </w:r>
    </w:p>
    <w:p>
      <w:pPr>
        <w:ind w:firstLine="560" w:firstLineChars="200"/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eastAsia="zh-CN"/>
        </w:rPr>
        <w:t>（六）餐厨垃圾收运处理不规范，累次投诉且拒不改正的区域；</w:t>
      </w:r>
    </w:p>
    <w:p>
      <w:pPr>
        <w:ind w:firstLine="560" w:firstLineChars="200"/>
        <w:rPr>
          <w:rFonts w:hint="default" w:asciiTheme="minorEastAsia" w:hAnsiTheme="minorEastAsia"/>
          <w:color w:val="auto"/>
          <w:sz w:val="28"/>
          <w:szCs w:val="28"/>
          <w:shd w:val="clear" w:color="auto" w:fill="FFFFFF"/>
          <w:lang w:val="en-US"/>
        </w:rPr>
      </w:pP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val="en-US" w:eastAsia="zh-CN"/>
        </w:rPr>
        <w:t>七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/>
          <w:color w:val="auto"/>
          <w:sz w:val="28"/>
          <w:szCs w:val="28"/>
          <w:shd w:val="clear" w:color="auto" w:fill="FFFFFF"/>
          <w:lang w:val="en-US" w:eastAsia="zh-CN"/>
        </w:rPr>
        <w:t>各地根据属地管理的实际情况，提出具体要求。</w:t>
      </w:r>
    </w:p>
    <w:p>
      <w:pPr>
        <w:ind w:firstLine="560" w:firstLineChars="200"/>
        <w:rPr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 xml:space="preserve">第八条 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重点管理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区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管理</w:t>
      </w:r>
      <w:r>
        <w:rPr>
          <w:rFonts w:hint="eastAsia"/>
          <w:color w:val="auto"/>
          <w:sz w:val="28"/>
          <w:szCs w:val="28"/>
        </w:rPr>
        <w:t>要求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根据实际情况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管理</w:t>
      </w:r>
      <w:r>
        <w:rPr>
          <w:rFonts w:cs="Arial" w:asciiTheme="minorEastAsia" w:hAnsiTheme="minorEastAsia"/>
          <w:color w:val="auto"/>
          <w:sz w:val="28"/>
          <w:szCs w:val="28"/>
        </w:rPr>
        <w:t>新建、改建、扩建产生油烟、异味、废气等污染的餐饮业项目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，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重点管理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区内现有餐饮项目禁止</w:t>
      </w:r>
      <w:r>
        <w:rPr>
          <w:rFonts w:cs="Arial" w:asciiTheme="minorEastAsia" w:hAnsiTheme="minorEastAsia"/>
          <w:color w:val="auto"/>
          <w:sz w:val="28"/>
          <w:szCs w:val="28"/>
        </w:rPr>
        <w:t>改建、扩建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。</w:t>
      </w:r>
    </w:p>
    <w:p>
      <w:pPr>
        <w:ind w:firstLine="560" w:firstLineChars="200"/>
        <w:rPr>
          <w:rFonts w:cs="Arial" w:asciiTheme="minorEastAsia" w:hAnsiTheme="minorEastAsia"/>
          <w:color w:val="auto"/>
          <w:sz w:val="28"/>
          <w:szCs w:val="28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第九条 除禁止建设区和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重点管理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区外的其他区域为</w:t>
      </w:r>
      <w:r>
        <w:rPr>
          <w:rFonts w:hint="eastAsia"/>
          <w:color w:val="auto"/>
          <w:sz w:val="28"/>
          <w:szCs w:val="28"/>
        </w:rPr>
        <w:t>一般区域，一般区域内</w:t>
      </w:r>
      <w:r>
        <w:rPr>
          <w:rFonts w:cs="Arial" w:asciiTheme="minorEastAsia" w:hAnsiTheme="minorEastAsia"/>
          <w:color w:val="auto"/>
          <w:sz w:val="28"/>
          <w:szCs w:val="28"/>
        </w:rPr>
        <w:t>新建、改建、扩建产生油烟、异味、废气等污染的餐饮业项目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，按照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各相关法律法规要求，</w:t>
      </w:r>
      <w:r>
        <w:rPr>
          <w:rFonts w:cs="Arial" w:asciiTheme="minorEastAsia" w:hAnsiTheme="minorEastAsia"/>
          <w:color w:val="auto"/>
          <w:sz w:val="28"/>
          <w:szCs w:val="28"/>
        </w:rPr>
        <w:t>规范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废水、废气、噪声、固体废物等污染治理措施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，</w:t>
      </w:r>
      <w:r>
        <w:rPr>
          <w:rFonts w:hint="eastAsia" w:cs="Arial" w:asciiTheme="minorEastAsia" w:hAnsiTheme="minorEastAsia"/>
          <w:color w:val="auto"/>
          <w:sz w:val="28"/>
          <w:szCs w:val="28"/>
          <w:lang w:val="en-US" w:eastAsia="zh-CN"/>
        </w:rPr>
        <w:t>根据各审批职能部门要求，依法办理证照</w:t>
      </w:r>
      <w:r>
        <w:rPr>
          <w:rFonts w:cs="Arial" w:asciiTheme="minorEastAsia" w:hAnsiTheme="minorEastAsia"/>
          <w:color w:val="auto"/>
          <w:sz w:val="28"/>
          <w:szCs w:val="28"/>
        </w:rPr>
        <w:t>。</w:t>
      </w:r>
    </w:p>
    <w:p>
      <w:pPr>
        <w:widowControl/>
        <w:ind w:firstLine="560" w:firstLineChars="200"/>
        <w:jc w:val="left"/>
        <w:rPr>
          <w:rFonts w:hint="default" w:cs="Arial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cs="Arial" w:asciiTheme="minorEastAsia" w:hAnsiTheme="minorEastAsia"/>
          <w:color w:val="auto"/>
          <w:sz w:val="28"/>
          <w:szCs w:val="28"/>
        </w:rPr>
        <w:t>第十条 禁止建设区和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重点管理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区内现有餐饮项目《按照</w:t>
      </w:r>
      <w:r>
        <w:rPr>
          <w:rFonts w:cs="Arial" w:asciiTheme="minorEastAsia" w:hAnsiTheme="minorEastAsia"/>
          <w:color w:val="auto"/>
          <w:sz w:val="28"/>
          <w:szCs w:val="28"/>
        </w:rPr>
        <w:t>昆明市餐饮业污染物排放专项整治工作方案》（市委办〔2021〕69 号</w:t>
      </w:r>
      <w:r>
        <w:rPr>
          <w:rFonts w:hint="eastAsia" w:cs="Arial" w:asciiTheme="minorEastAsia" w:hAnsiTheme="minorEastAsia"/>
          <w:color w:val="auto"/>
          <w:sz w:val="28"/>
          <w:szCs w:val="28"/>
        </w:rPr>
        <w:t>）“四个一批”方式处理</w:t>
      </w:r>
      <w:r>
        <w:rPr>
          <w:rFonts w:hint="eastAsia" w:cs="Arial" w:asciiTheme="minorEastAsia" w:hAnsiTheme="minorEastAsia"/>
          <w:color w:val="auto"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67"/>
    <w:rsid w:val="0001700D"/>
    <w:rsid w:val="000315EB"/>
    <w:rsid w:val="000341BB"/>
    <w:rsid w:val="0003427C"/>
    <w:rsid w:val="0004030D"/>
    <w:rsid w:val="00050534"/>
    <w:rsid w:val="00052272"/>
    <w:rsid w:val="000624B7"/>
    <w:rsid w:val="00072513"/>
    <w:rsid w:val="00076F0D"/>
    <w:rsid w:val="00094157"/>
    <w:rsid w:val="00094859"/>
    <w:rsid w:val="000A0F23"/>
    <w:rsid w:val="000A64E6"/>
    <w:rsid w:val="000B0BD1"/>
    <w:rsid w:val="000B7317"/>
    <w:rsid w:val="000C370E"/>
    <w:rsid w:val="000E261D"/>
    <w:rsid w:val="000E769C"/>
    <w:rsid w:val="000F5D5D"/>
    <w:rsid w:val="00117AA6"/>
    <w:rsid w:val="00126B34"/>
    <w:rsid w:val="00131644"/>
    <w:rsid w:val="00137345"/>
    <w:rsid w:val="00146AFA"/>
    <w:rsid w:val="00147052"/>
    <w:rsid w:val="00150A61"/>
    <w:rsid w:val="00155774"/>
    <w:rsid w:val="0016688C"/>
    <w:rsid w:val="00170C91"/>
    <w:rsid w:val="001800D7"/>
    <w:rsid w:val="00181D63"/>
    <w:rsid w:val="00186DF9"/>
    <w:rsid w:val="001A2194"/>
    <w:rsid w:val="001C4BD8"/>
    <w:rsid w:val="001C674B"/>
    <w:rsid w:val="001F3C68"/>
    <w:rsid w:val="002014E6"/>
    <w:rsid w:val="0020275A"/>
    <w:rsid w:val="00207CA4"/>
    <w:rsid w:val="002118E9"/>
    <w:rsid w:val="00214729"/>
    <w:rsid w:val="0022725B"/>
    <w:rsid w:val="0023084A"/>
    <w:rsid w:val="00230FAF"/>
    <w:rsid w:val="00243B30"/>
    <w:rsid w:val="0025332A"/>
    <w:rsid w:val="00253CD1"/>
    <w:rsid w:val="00255107"/>
    <w:rsid w:val="00257810"/>
    <w:rsid w:val="00270E95"/>
    <w:rsid w:val="00272737"/>
    <w:rsid w:val="00292DC5"/>
    <w:rsid w:val="00295265"/>
    <w:rsid w:val="002A052F"/>
    <w:rsid w:val="002A2EA4"/>
    <w:rsid w:val="002A355A"/>
    <w:rsid w:val="002B0C2D"/>
    <w:rsid w:val="002B2540"/>
    <w:rsid w:val="002C29A2"/>
    <w:rsid w:val="002C6B16"/>
    <w:rsid w:val="002F16B3"/>
    <w:rsid w:val="002F7C08"/>
    <w:rsid w:val="0030602D"/>
    <w:rsid w:val="00314674"/>
    <w:rsid w:val="003352ED"/>
    <w:rsid w:val="0033718B"/>
    <w:rsid w:val="00343193"/>
    <w:rsid w:val="00352F94"/>
    <w:rsid w:val="00365B3B"/>
    <w:rsid w:val="00370B74"/>
    <w:rsid w:val="003731A3"/>
    <w:rsid w:val="0037321F"/>
    <w:rsid w:val="00374836"/>
    <w:rsid w:val="003825F2"/>
    <w:rsid w:val="00387A21"/>
    <w:rsid w:val="003A6E07"/>
    <w:rsid w:val="003C1AD3"/>
    <w:rsid w:val="003C3076"/>
    <w:rsid w:val="003D0777"/>
    <w:rsid w:val="003D3CE3"/>
    <w:rsid w:val="003D3DAB"/>
    <w:rsid w:val="003F5BE4"/>
    <w:rsid w:val="004157F6"/>
    <w:rsid w:val="00416809"/>
    <w:rsid w:val="00420473"/>
    <w:rsid w:val="00423DF7"/>
    <w:rsid w:val="00432F01"/>
    <w:rsid w:val="00445267"/>
    <w:rsid w:val="004520F8"/>
    <w:rsid w:val="004523C1"/>
    <w:rsid w:val="00461935"/>
    <w:rsid w:val="00465EB6"/>
    <w:rsid w:val="00471EA9"/>
    <w:rsid w:val="00476C77"/>
    <w:rsid w:val="00480D67"/>
    <w:rsid w:val="00482F7D"/>
    <w:rsid w:val="00485B21"/>
    <w:rsid w:val="00492D71"/>
    <w:rsid w:val="004B5F0E"/>
    <w:rsid w:val="004B6E20"/>
    <w:rsid w:val="004C5CCC"/>
    <w:rsid w:val="004D654E"/>
    <w:rsid w:val="004F774A"/>
    <w:rsid w:val="004F7AD8"/>
    <w:rsid w:val="00501780"/>
    <w:rsid w:val="00520ED4"/>
    <w:rsid w:val="0052244D"/>
    <w:rsid w:val="00530104"/>
    <w:rsid w:val="00537103"/>
    <w:rsid w:val="005520DE"/>
    <w:rsid w:val="005546ED"/>
    <w:rsid w:val="0056438F"/>
    <w:rsid w:val="005803B7"/>
    <w:rsid w:val="005861B4"/>
    <w:rsid w:val="00590BC6"/>
    <w:rsid w:val="005A0B36"/>
    <w:rsid w:val="005A1455"/>
    <w:rsid w:val="005A16A7"/>
    <w:rsid w:val="005A7C6E"/>
    <w:rsid w:val="005B2837"/>
    <w:rsid w:val="005C72A0"/>
    <w:rsid w:val="005F2A1B"/>
    <w:rsid w:val="00606159"/>
    <w:rsid w:val="00626D56"/>
    <w:rsid w:val="006327CF"/>
    <w:rsid w:val="00640234"/>
    <w:rsid w:val="006423C2"/>
    <w:rsid w:val="00646BE6"/>
    <w:rsid w:val="006507DB"/>
    <w:rsid w:val="00667AAF"/>
    <w:rsid w:val="00672315"/>
    <w:rsid w:val="006812AB"/>
    <w:rsid w:val="00683C91"/>
    <w:rsid w:val="0068564D"/>
    <w:rsid w:val="00694D2D"/>
    <w:rsid w:val="006A1203"/>
    <w:rsid w:val="006B0CE6"/>
    <w:rsid w:val="006C176F"/>
    <w:rsid w:val="006F62B8"/>
    <w:rsid w:val="00701491"/>
    <w:rsid w:val="0070407D"/>
    <w:rsid w:val="007041E8"/>
    <w:rsid w:val="00710761"/>
    <w:rsid w:val="007108AF"/>
    <w:rsid w:val="00735DE1"/>
    <w:rsid w:val="00742856"/>
    <w:rsid w:val="007470E2"/>
    <w:rsid w:val="00751409"/>
    <w:rsid w:val="00766D04"/>
    <w:rsid w:val="00771820"/>
    <w:rsid w:val="00777E25"/>
    <w:rsid w:val="007D5009"/>
    <w:rsid w:val="007D6858"/>
    <w:rsid w:val="007E296B"/>
    <w:rsid w:val="007F1A6C"/>
    <w:rsid w:val="008365A4"/>
    <w:rsid w:val="00837DB5"/>
    <w:rsid w:val="00837EF5"/>
    <w:rsid w:val="008438F5"/>
    <w:rsid w:val="00852567"/>
    <w:rsid w:val="00852C72"/>
    <w:rsid w:val="00853A43"/>
    <w:rsid w:val="0086080F"/>
    <w:rsid w:val="0086564E"/>
    <w:rsid w:val="008773EE"/>
    <w:rsid w:val="00883C4E"/>
    <w:rsid w:val="008867C5"/>
    <w:rsid w:val="0089098A"/>
    <w:rsid w:val="0089727D"/>
    <w:rsid w:val="008D0212"/>
    <w:rsid w:val="008D340C"/>
    <w:rsid w:val="008F20D7"/>
    <w:rsid w:val="00905898"/>
    <w:rsid w:val="00912223"/>
    <w:rsid w:val="00924FE0"/>
    <w:rsid w:val="00926434"/>
    <w:rsid w:val="0093552C"/>
    <w:rsid w:val="009415B3"/>
    <w:rsid w:val="00962E0C"/>
    <w:rsid w:val="0096460E"/>
    <w:rsid w:val="0097646E"/>
    <w:rsid w:val="0098679F"/>
    <w:rsid w:val="00991982"/>
    <w:rsid w:val="00995D59"/>
    <w:rsid w:val="009A5092"/>
    <w:rsid w:val="009C2CDA"/>
    <w:rsid w:val="009C331B"/>
    <w:rsid w:val="009C3EAE"/>
    <w:rsid w:val="009C4F66"/>
    <w:rsid w:val="009D65D1"/>
    <w:rsid w:val="009F210D"/>
    <w:rsid w:val="009F464B"/>
    <w:rsid w:val="00A02134"/>
    <w:rsid w:val="00A0228E"/>
    <w:rsid w:val="00A146BA"/>
    <w:rsid w:val="00A2064F"/>
    <w:rsid w:val="00A260CD"/>
    <w:rsid w:val="00A266B4"/>
    <w:rsid w:val="00A31B13"/>
    <w:rsid w:val="00A31EEE"/>
    <w:rsid w:val="00A3407C"/>
    <w:rsid w:val="00A3689B"/>
    <w:rsid w:val="00A41700"/>
    <w:rsid w:val="00A45922"/>
    <w:rsid w:val="00A46461"/>
    <w:rsid w:val="00A553BA"/>
    <w:rsid w:val="00A61C73"/>
    <w:rsid w:val="00A6268E"/>
    <w:rsid w:val="00A62DB9"/>
    <w:rsid w:val="00A81D06"/>
    <w:rsid w:val="00A87686"/>
    <w:rsid w:val="00A94804"/>
    <w:rsid w:val="00A959CB"/>
    <w:rsid w:val="00AB067D"/>
    <w:rsid w:val="00AC0AB8"/>
    <w:rsid w:val="00AD5D89"/>
    <w:rsid w:val="00AD661E"/>
    <w:rsid w:val="00AF1FED"/>
    <w:rsid w:val="00AF2D2B"/>
    <w:rsid w:val="00B10283"/>
    <w:rsid w:val="00B11F19"/>
    <w:rsid w:val="00B3436D"/>
    <w:rsid w:val="00B36483"/>
    <w:rsid w:val="00B43391"/>
    <w:rsid w:val="00B54634"/>
    <w:rsid w:val="00B71224"/>
    <w:rsid w:val="00B7151F"/>
    <w:rsid w:val="00B85471"/>
    <w:rsid w:val="00BB2CDB"/>
    <w:rsid w:val="00BB46B8"/>
    <w:rsid w:val="00BD7A49"/>
    <w:rsid w:val="00BE744D"/>
    <w:rsid w:val="00BE753D"/>
    <w:rsid w:val="00BF0206"/>
    <w:rsid w:val="00C0335F"/>
    <w:rsid w:val="00C04419"/>
    <w:rsid w:val="00C20D9A"/>
    <w:rsid w:val="00C43B59"/>
    <w:rsid w:val="00C6470C"/>
    <w:rsid w:val="00C7242F"/>
    <w:rsid w:val="00C80662"/>
    <w:rsid w:val="00C81079"/>
    <w:rsid w:val="00C91EB7"/>
    <w:rsid w:val="00CA783B"/>
    <w:rsid w:val="00CB6983"/>
    <w:rsid w:val="00CC7382"/>
    <w:rsid w:val="00CD1F27"/>
    <w:rsid w:val="00CD2DE3"/>
    <w:rsid w:val="00CE05B8"/>
    <w:rsid w:val="00CE5D8A"/>
    <w:rsid w:val="00CE7408"/>
    <w:rsid w:val="00D3261E"/>
    <w:rsid w:val="00D32DF1"/>
    <w:rsid w:val="00D3649C"/>
    <w:rsid w:val="00D4729B"/>
    <w:rsid w:val="00D66915"/>
    <w:rsid w:val="00D66AFF"/>
    <w:rsid w:val="00D76A74"/>
    <w:rsid w:val="00D805F5"/>
    <w:rsid w:val="00D80DDD"/>
    <w:rsid w:val="00D82725"/>
    <w:rsid w:val="00DA6408"/>
    <w:rsid w:val="00DB607B"/>
    <w:rsid w:val="00DC6562"/>
    <w:rsid w:val="00DD0049"/>
    <w:rsid w:val="00DD5DDD"/>
    <w:rsid w:val="00DE0C62"/>
    <w:rsid w:val="00DE30D7"/>
    <w:rsid w:val="00DF30F5"/>
    <w:rsid w:val="00E02E71"/>
    <w:rsid w:val="00E26628"/>
    <w:rsid w:val="00E43F90"/>
    <w:rsid w:val="00E44EAE"/>
    <w:rsid w:val="00E6448C"/>
    <w:rsid w:val="00E65C34"/>
    <w:rsid w:val="00E7160B"/>
    <w:rsid w:val="00E73E04"/>
    <w:rsid w:val="00E86D88"/>
    <w:rsid w:val="00EA465E"/>
    <w:rsid w:val="00EE18A9"/>
    <w:rsid w:val="00EE5448"/>
    <w:rsid w:val="00EE6126"/>
    <w:rsid w:val="00EE776C"/>
    <w:rsid w:val="00F02B4B"/>
    <w:rsid w:val="00F0313C"/>
    <w:rsid w:val="00F06912"/>
    <w:rsid w:val="00F11170"/>
    <w:rsid w:val="00F12C51"/>
    <w:rsid w:val="00F141C4"/>
    <w:rsid w:val="00F15B18"/>
    <w:rsid w:val="00F16F04"/>
    <w:rsid w:val="00F2045B"/>
    <w:rsid w:val="00F209B5"/>
    <w:rsid w:val="00F24092"/>
    <w:rsid w:val="00F33C99"/>
    <w:rsid w:val="00F45129"/>
    <w:rsid w:val="00F53E7A"/>
    <w:rsid w:val="00F6121D"/>
    <w:rsid w:val="00F71E98"/>
    <w:rsid w:val="00F7657A"/>
    <w:rsid w:val="00F94CA6"/>
    <w:rsid w:val="00FC4872"/>
    <w:rsid w:val="00FD57CB"/>
    <w:rsid w:val="00FE2466"/>
    <w:rsid w:val="00FF4498"/>
    <w:rsid w:val="0A221F0D"/>
    <w:rsid w:val="0C110091"/>
    <w:rsid w:val="18AE6728"/>
    <w:rsid w:val="2D9806E7"/>
    <w:rsid w:val="50D25437"/>
    <w:rsid w:val="65F4568A"/>
    <w:rsid w:val="690C664E"/>
    <w:rsid w:val="70DD7FC2"/>
    <w:rsid w:val="72FF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3</Pages>
  <Words>153</Words>
  <Characters>878</Characters>
  <Lines>7</Lines>
  <Paragraphs>2</Paragraphs>
  <TotalTime>195</TotalTime>
  <ScaleCrop>false</ScaleCrop>
  <LinksUpToDate>false</LinksUpToDate>
  <CharactersWithSpaces>1029</CharactersWithSpaces>
  <Application>WPS Office_11.8.2.10255_F1E327BC-269C-435d-A152-05C5408002CA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2021-10-22T01:15:00Z</dcterms:created>
  <dc:creator>微软用户</dc:creator>
  <cp:lastModifiedBy>刘睿</cp:lastModifiedBy>
  <cp:lastPrinted>2021-11-01T06:30:00Z</cp:lastPrinted>
  <dcterms:modified xsi:type="dcterms:W3CDTF">2021-11-01T08:12:33Z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2052-11.8.2.10255</vt:lpwstr>
  </property>
  <property fmtid="{D5CDD505-2E9C-101B-9397-08002B2CF9AE}" pid="3" name="ICV">
    <vt:lpwstr>BB88250FAC0C48FEA2ED0498AC1CE494</vt:lpwstr>
  </property>
</Properties>
</file>