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70" w:lineRule="exact"/>
        <w:jc w:val="center"/>
        <w:rPr>
          <w:rFonts w:ascii="黑体" w:hAnsi="黑体" w:eastAsia="黑体"/>
          <w:b/>
          <w:spacing w:val="14"/>
          <w:sz w:val="44"/>
          <w:szCs w:val="44"/>
        </w:rPr>
      </w:pPr>
      <w:r>
        <w:rPr>
          <w:rFonts w:hint="eastAsia" w:ascii="黑体" w:hAnsi="黑体" w:eastAsia="黑体"/>
          <w:b/>
          <w:sz w:val="44"/>
          <w:szCs w:val="44"/>
        </w:rPr>
        <w:t>禄劝彝族苗族自治县教育体育局2020</w:t>
      </w:r>
      <w:r>
        <w:rPr>
          <w:rFonts w:ascii="黑体" w:hAnsi="黑体" w:eastAsia="黑体"/>
          <w:b/>
          <w:sz w:val="44"/>
          <w:szCs w:val="44"/>
        </w:rPr>
        <w:t>年</w:t>
      </w:r>
      <w:r>
        <w:rPr>
          <w:rFonts w:hint="eastAsia" w:ascii="黑体" w:hAnsi="黑体" w:eastAsia="黑体"/>
          <w:b/>
          <w:spacing w:val="14"/>
          <w:sz w:val="44"/>
          <w:szCs w:val="44"/>
        </w:rPr>
        <w:t>高中免费（三免一补）教育</w:t>
      </w:r>
      <w:r>
        <w:rPr>
          <w:rFonts w:ascii="黑体" w:hAnsi="黑体" w:eastAsia="黑体"/>
          <w:b/>
          <w:spacing w:val="14"/>
          <w:sz w:val="44"/>
          <w:szCs w:val="44"/>
        </w:rPr>
        <w:t>项目</w:t>
      </w:r>
    </w:p>
    <w:p>
      <w:pPr>
        <w:snapToGrid w:val="0"/>
        <w:spacing w:line="570" w:lineRule="exact"/>
        <w:jc w:val="center"/>
        <w:rPr>
          <w:rFonts w:ascii="黑体" w:hAnsi="黑体" w:eastAsia="黑体"/>
          <w:kern w:val="0"/>
          <w:sz w:val="30"/>
          <w:szCs w:val="30"/>
        </w:rPr>
      </w:pPr>
    </w:p>
    <w:p>
      <w:pPr>
        <w:widowControl/>
        <w:ind w:left="600"/>
        <w:jc w:val="left"/>
        <w:rPr>
          <w:rFonts w:ascii="黑体" w:hAnsi="黑体" w:eastAsia="黑体"/>
          <w:kern w:val="0"/>
          <w:sz w:val="30"/>
          <w:szCs w:val="30"/>
        </w:rPr>
      </w:pPr>
      <w:r>
        <w:rPr>
          <w:rFonts w:hint="eastAsia" w:ascii="黑体" w:hAnsi="黑体" w:eastAsia="黑体"/>
          <w:kern w:val="0"/>
          <w:sz w:val="30"/>
          <w:szCs w:val="30"/>
        </w:rPr>
        <w:t>一、项目名称</w:t>
      </w:r>
    </w:p>
    <w:p>
      <w:pPr>
        <w:widowControl/>
        <w:ind w:firstLine="600" w:firstLineChars="200"/>
        <w:jc w:val="left"/>
        <w:rPr>
          <w:rFonts w:eastAsiaTheme="minorEastAsia"/>
          <w:kern w:val="0"/>
          <w:sz w:val="30"/>
          <w:szCs w:val="30"/>
        </w:rPr>
      </w:pPr>
      <w:r>
        <w:rPr>
          <w:rFonts w:hint="eastAsia" w:eastAsiaTheme="minorEastAsia"/>
          <w:kern w:val="0"/>
          <w:sz w:val="30"/>
          <w:szCs w:val="30"/>
        </w:rPr>
        <w:t>禄劝彝族苗族自治县列入补充公开重点领域支出项目：高中（包括普通高中和职业高中）免费教育3200万元。</w:t>
      </w:r>
    </w:p>
    <w:p>
      <w:pPr>
        <w:widowControl/>
        <w:ind w:left="600"/>
        <w:jc w:val="left"/>
        <w:rPr>
          <w:rFonts w:ascii="黑体" w:hAnsi="黑体" w:eastAsia="黑体"/>
          <w:kern w:val="0"/>
          <w:sz w:val="30"/>
          <w:szCs w:val="30"/>
        </w:rPr>
      </w:pPr>
      <w:r>
        <w:rPr>
          <w:rFonts w:hint="eastAsia" w:ascii="黑体" w:hAnsi="黑体" w:eastAsia="黑体"/>
          <w:kern w:val="0"/>
          <w:sz w:val="30"/>
          <w:szCs w:val="30"/>
        </w:rPr>
        <w:t>二、立项依据</w:t>
      </w:r>
    </w:p>
    <w:p>
      <w:pPr>
        <w:widowControl/>
        <w:ind w:firstLine="600" w:firstLineChars="200"/>
        <w:jc w:val="left"/>
        <w:rPr>
          <w:rFonts w:eastAsiaTheme="minorEastAsia"/>
          <w:kern w:val="0"/>
          <w:sz w:val="30"/>
          <w:szCs w:val="30"/>
        </w:rPr>
      </w:pPr>
      <w:r>
        <w:rPr>
          <w:rFonts w:hint="eastAsia" w:eastAsiaTheme="minorEastAsia"/>
          <w:kern w:val="0"/>
          <w:sz w:val="30"/>
          <w:szCs w:val="30"/>
        </w:rPr>
        <w:t>中共禄劝彝族苗族自治县委办公室 禄劝彝族苗族自治县人民政府办公室 关于印发《禄劝彝族苗族自治县实施农村家庭学生高中阶段免费教育的工作方案》的通知  禄教通[2017]23号。</w:t>
      </w:r>
    </w:p>
    <w:p>
      <w:pPr>
        <w:widowControl/>
        <w:ind w:left="600"/>
        <w:jc w:val="left"/>
        <w:rPr>
          <w:rFonts w:ascii="黑体" w:hAnsi="黑体" w:eastAsia="黑体"/>
          <w:kern w:val="0"/>
          <w:sz w:val="30"/>
          <w:szCs w:val="30"/>
        </w:rPr>
      </w:pPr>
      <w:r>
        <w:rPr>
          <w:rFonts w:hint="eastAsia" w:ascii="黑体" w:hAnsi="黑体" w:eastAsia="黑体"/>
          <w:kern w:val="0"/>
          <w:sz w:val="30"/>
          <w:szCs w:val="30"/>
        </w:rPr>
        <w:t>三、项目实施单位</w:t>
      </w:r>
    </w:p>
    <w:p>
      <w:pPr>
        <w:widowControl/>
        <w:ind w:firstLine="600" w:firstLineChars="200"/>
        <w:jc w:val="left"/>
        <w:rPr>
          <w:rFonts w:eastAsia="仿宋_GB2312"/>
          <w:kern w:val="0"/>
          <w:sz w:val="30"/>
          <w:szCs w:val="30"/>
        </w:rPr>
      </w:pPr>
      <w:r>
        <w:rPr>
          <w:rFonts w:ascii="仿宋_GB2312" w:hAnsi="仿宋_GB2312"/>
          <w:kern w:val="0"/>
          <w:sz w:val="30"/>
          <w:szCs w:val="30"/>
        </w:rPr>
        <w:t>单位名称：</w:t>
      </w:r>
      <w:r>
        <w:rPr>
          <w:rFonts w:hint="eastAsia" w:eastAsiaTheme="minorEastAsia"/>
          <w:kern w:val="0"/>
          <w:sz w:val="30"/>
          <w:szCs w:val="30"/>
        </w:rPr>
        <w:t>禄劝彝族苗族自治县教育体育局</w:t>
      </w:r>
    </w:p>
    <w:p>
      <w:pPr>
        <w:widowControl/>
        <w:ind w:firstLine="600" w:firstLineChars="200"/>
        <w:jc w:val="left"/>
        <w:rPr>
          <w:rFonts w:eastAsia="仿宋_GB2312"/>
          <w:kern w:val="0"/>
          <w:sz w:val="30"/>
          <w:szCs w:val="30"/>
        </w:rPr>
      </w:pPr>
      <w:r>
        <w:rPr>
          <w:rFonts w:hint="eastAsia" w:ascii="仿宋_GB2312" w:hAnsi="仿宋_GB2312"/>
          <w:kern w:val="0"/>
          <w:sz w:val="30"/>
          <w:szCs w:val="30"/>
        </w:rPr>
        <w:t>统一信用</w:t>
      </w:r>
      <w:r>
        <w:rPr>
          <w:rFonts w:ascii="仿宋_GB2312" w:hAnsi="仿宋_GB2312"/>
          <w:kern w:val="0"/>
          <w:sz w:val="30"/>
          <w:szCs w:val="30"/>
        </w:rPr>
        <w:t>代码：1153012801512839XJ</w:t>
      </w:r>
    </w:p>
    <w:p>
      <w:pPr>
        <w:widowControl/>
        <w:ind w:firstLine="600" w:firstLineChars="200"/>
        <w:jc w:val="left"/>
        <w:rPr>
          <w:rFonts w:eastAsia="仿宋_GB2312"/>
          <w:kern w:val="0"/>
          <w:sz w:val="30"/>
          <w:szCs w:val="30"/>
        </w:rPr>
      </w:pPr>
      <w:r>
        <w:rPr>
          <w:rFonts w:ascii="仿宋_GB2312" w:hAnsi="仿宋_GB2312"/>
          <w:kern w:val="0"/>
          <w:sz w:val="30"/>
          <w:szCs w:val="30"/>
        </w:rPr>
        <w:t>地址：</w:t>
      </w:r>
      <w:r>
        <w:rPr>
          <w:rFonts w:hint="eastAsia" w:ascii="仿宋_GB2312" w:hAnsi="仿宋_GB2312"/>
          <w:kern w:val="0"/>
          <w:sz w:val="30"/>
          <w:szCs w:val="30"/>
        </w:rPr>
        <w:t>云南省昆明市禄劝彝族苗族自治县屏山街道办事处咪油社区居民委员会咪油村小组149号县教育体育局</w:t>
      </w:r>
    </w:p>
    <w:p>
      <w:pPr>
        <w:widowControl/>
        <w:ind w:firstLine="600" w:firstLineChars="200"/>
        <w:jc w:val="left"/>
        <w:rPr>
          <w:rFonts w:eastAsia="仿宋_GB2312"/>
          <w:kern w:val="0"/>
          <w:sz w:val="30"/>
          <w:szCs w:val="30"/>
        </w:rPr>
      </w:pPr>
      <w:r>
        <w:rPr>
          <w:rFonts w:ascii="仿宋_GB2312" w:hAnsi="仿宋_GB2312"/>
          <w:kern w:val="0"/>
          <w:sz w:val="30"/>
          <w:szCs w:val="30"/>
        </w:rPr>
        <w:t>联系电话：</w:t>
      </w:r>
      <w:r>
        <w:rPr>
          <w:rFonts w:hint="eastAsia" w:ascii="仿宋_GB2312" w:hAnsi="仿宋_GB2312"/>
          <w:kern w:val="0"/>
          <w:sz w:val="30"/>
          <w:szCs w:val="30"/>
        </w:rPr>
        <w:t>0871-68912552</w:t>
      </w:r>
    </w:p>
    <w:p>
      <w:pPr>
        <w:widowControl/>
        <w:ind w:firstLine="600" w:firstLineChars="200"/>
        <w:jc w:val="left"/>
        <w:rPr>
          <w:rFonts w:eastAsia="仿宋_GB2312"/>
          <w:kern w:val="0"/>
          <w:sz w:val="30"/>
          <w:szCs w:val="30"/>
        </w:rPr>
      </w:pPr>
      <w:r>
        <w:rPr>
          <w:rFonts w:ascii="仿宋_GB2312" w:hAnsi="仿宋_GB2312"/>
          <w:kern w:val="0"/>
          <w:sz w:val="30"/>
          <w:szCs w:val="30"/>
        </w:rPr>
        <w:t>法人代表：</w:t>
      </w:r>
      <w:bookmarkStart w:id="0" w:name="_GoBack"/>
      <w:bookmarkEnd w:id="0"/>
    </w:p>
    <w:p>
      <w:pPr>
        <w:ind w:firstLine="600" w:firstLineChars="200"/>
      </w:pPr>
      <w:r>
        <w:rPr>
          <w:rFonts w:ascii="仿宋_GB2312" w:hAnsi="仿宋_GB2312"/>
          <w:kern w:val="0"/>
          <w:sz w:val="30"/>
          <w:szCs w:val="30"/>
        </w:rPr>
        <w:t>经费来源：</w:t>
      </w:r>
      <w:r>
        <w:rPr>
          <w:rFonts w:hint="eastAsia" w:ascii="仿宋" w:hAnsi="仿宋" w:eastAsia="仿宋" w:cs="仿宋_GB2312"/>
          <w:spacing w:val="14"/>
          <w:sz w:val="32"/>
          <w:szCs w:val="32"/>
        </w:rPr>
        <w:t>由县财政筹措资金。</w:t>
      </w:r>
    </w:p>
    <w:p>
      <w:pPr>
        <w:widowControl/>
        <w:ind w:firstLine="600" w:firstLineChars="200"/>
        <w:jc w:val="left"/>
        <w:rPr>
          <w:rFonts w:eastAsia="仿宋_GB2312"/>
          <w:kern w:val="0"/>
          <w:sz w:val="30"/>
          <w:szCs w:val="30"/>
        </w:rPr>
      </w:pPr>
      <w:r>
        <w:rPr>
          <w:rFonts w:hint="eastAsia" w:ascii="仿宋_GB2312" w:hAnsi="仿宋_GB2312"/>
          <w:kern w:val="0"/>
          <w:sz w:val="30"/>
          <w:szCs w:val="30"/>
        </w:rPr>
        <w:t>项目</w:t>
      </w:r>
      <w:r>
        <w:rPr>
          <w:rFonts w:ascii="仿宋_GB2312" w:hAnsi="仿宋_GB2312"/>
          <w:kern w:val="0"/>
          <w:sz w:val="30"/>
          <w:szCs w:val="30"/>
        </w:rPr>
        <w:t>概况：</w:t>
      </w:r>
      <w:r>
        <w:rPr>
          <w:rFonts w:hint="eastAsia" w:ascii="仿宋_GB2312" w:hAnsi="仿宋_GB2312"/>
          <w:kern w:val="0"/>
          <w:sz w:val="30"/>
          <w:szCs w:val="30"/>
        </w:rPr>
        <w:t>在实现义务教育阶段学生免费就学的基础上，实现我县县内农村家庭就读高中阶段学生学费、住宿费和教科书费全免，并补助生活费。</w:t>
      </w:r>
    </w:p>
    <w:p>
      <w:pPr>
        <w:widowControl/>
        <w:ind w:left="600"/>
        <w:jc w:val="left"/>
        <w:rPr>
          <w:rFonts w:ascii="黑体" w:hAnsi="黑体" w:eastAsia="黑体"/>
          <w:kern w:val="0"/>
          <w:sz w:val="30"/>
          <w:szCs w:val="30"/>
        </w:rPr>
      </w:pPr>
      <w:r>
        <w:rPr>
          <w:rFonts w:hint="eastAsia" w:ascii="黑体" w:hAnsi="黑体" w:eastAsia="黑体"/>
          <w:kern w:val="0"/>
          <w:sz w:val="30"/>
          <w:szCs w:val="30"/>
        </w:rPr>
        <w:t>四、项目基本概况</w:t>
      </w:r>
    </w:p>
    <w:p>
      <w:pPr>
        <w:widowControl/>
        <w:ind w:firstLine="600" w:firstLineChars="200"/>
        <w:jc w:val="left"/>
        <w:rPr>
          <w:rFonts w:eastAsiaTheme="minorEastAsia"/>
          <w:kern w:val="0"/>
          <w:sz w:val="30"/>
          <w:szCs w:val="30"/>
        </w:rPr>
      </w:pPr>
      <w:r>
        <w:rPr>
          <w:rFonts w:hint="eastAsia" w:eastAsiaTheme="minorEastAsia"/>
          <w:kern w:val="0"/>
          <w:sz w:val="30"/>
          <w:szCs w:val="30"/>
        </w:rPr>
        <w:t>对高中阶段就读学生（普通高中、职业中学）：（一）父母双方和本人都是禄劝县农村地区户口（含农转城户口）且在禄劝就读，具有禄劝中小学学籍号的学生；（二）禄劝籍移民在本县范围内就读，具有禄劝中小学学籍号的高中阶段学生（国家党政机关、事业单位子女学生除外），实施学生学费、住宿费和教科书费全免，并补助生活费。</w:t>
      </w:r>
    </w:p>
    <w:p>
      <w:pPr>
        <w:widowControl/>
        <w:ind w:left="600"/>
        <w:jc w:val="left"/>
        <w:rPr>
          <w:rFonts w:ascii="黑体" w:hAnsi="黑体" w:eastAsia="黑体"/>
          <w:kern w:val="0"/>
          <w:sz w:val="30"/>
          <w:szCs w:val="30"/>
        </w:rPr>
      </w:pPr>
      <w:r>
        <w:rPr>
          <w:rFonts w:hint="eastAsia" w:ascii="黑体" w:hAnsi="黑体" w:eastAsia="黑体"/>
          <w:kern w:val="0"/>
          <w:sz w:val="30"/>
          <w:szCs w:val="30"/>
        </w:rPr>
        <w:t>五、项目实施内容</w:t>
      </w:r>
    </w:p>
    <w:p>
      <w:pPr>
        <w:widowControl/>
        <w:ind w:firstLine="600" w:firstLineChars="200"/>
        <w:jc w:val="left"/>
        <w:rPr>
          <w:rFonts w:eastAsiaTheme="minorEastAsia"/>
          <w:kern w:val="0"/>
          <w:sz w:val="30"/>
          <w:szCs w:val="30"/>
        </w:rPr>
      </w:pPr>
      <w:r>
        <w:rPr>
          <w:rFonts w:hint="eastAsia" w:eastAsiaTheme="minorEastAsia"/>
          <w:kern w:val="0"/>
          <w:sz w:val="30"/>
          <w:szCs w:val="30"/>
        </w:rPr>
        <w:t>普通高中教科书费、学费、住宿费、生活补助费和职业中学教科书费、住宿费、生活补助费于每年的3月和9月由县财政按国库集中支付程序据实拨付给县教育局，再由县教育局审核后拨付给学校。其中，生活补助金费于每月底按月拨付给学校后划入学生个人一卡通，专项用于学生就餐补助。</w:t>
      </w:r>
    </w:p>
    <w:p>
      <w:pPr>
        <w:widowControl/>
        <w:ind w:left="600"/>
        <w:jc w:val="left"/>
        <w:rPr>
          <w:rFonts w:ascii="黑体" w:hAnsi="黑体" w:eastAsia="黑体"/>
          <w:kern w:val="0"/>
          <w:sz w:val="30"/>
          <w:szCs w:val="30"/>
        </w:rPr>
      </w:pPr>
      <w:r>
        <w:rPr>
          <w:rFonts w:hint="eastAsia" w:ascii="黑体" w:hAnsi="黑体" w:eastAsia="黑体"/>
          <w:kern w:val="0"/>
          <w:sz w:val="30"/>
          <w:szCs w:val="30"/>
        </w:rPr>
        <w:t>六、资金安排情况</w:t>
      </w:r>
    </w:p>
    <w:p>
      <w:pPr>
        <w:widowControl/>
        <w:ind w:firstLine="600" w:firstLineChars="200"/>
        <w:jc w:val="left"/>
        <w:rPr>
          <w:rFonts w:eastAsiaTheme="minorEastAsia"/>
          <w:kern w:val="0"/>
          <w:sz w:val="30"/>
          <w:szCs w:val="30"/>
        </w:rPr>
      </w:pPr>
      <w:r>
        <w:rPr>
          <w:rFonts w:hint="eastAsia" w:eastAsiaTheme="minorEastAsia"/>
          <w:kern w:val="0"/>
          <w:sz w:val="30"/>
          <w:szCs w:val="30"/>
        </w:rPr>
        <w:t>普通高中学生：教科书费500元/生.年；学费800元/生.年；住宿费160元/生.年；生活补助费2500元/生.年；普通高中合计3960元/生.年。</w:t>
      </w:r>
    </w:p>
    <w:p>
      <w:pPr>
        <w:widowControl/>
        <w:ind w:firstLine="600" w:firstLineChars="200"/>
        <w:jc w:val="left"/>
        <w:rPr>
          <w:rFonts w:eastAsiaTheme="minorEastAsia"/>
          <w:kern w:val="0"/>
          <w:sz w:val="30"/>
          <w:szCs w:val="30"/>
        </w:rPr>
      </w:pPr>
      <w:r>
        <w:rPr>
          <w:rFonts w:hint="eastAsia" w:eastAsiaTheme="minorEastAsia"/>
          <w:kern w:val="0"/>
          <w:sz w:val="30"/>
          <w:szCs w:val="30"/>
        </w:rPr>
        <w:t>职业高中学生：教科书费500元/生.年；住宿费400元/生.年；生活补助费3000元/生.年；普通高中合计3900元/生.年。</w:t>
      </w:r>
    </w:p>
    <w:p>
      <w:pPr>
        <w:widowControl/>
        <w:ind w:left="600"/>
        <w:jc w:val="left"/>
        <w:rPr>
          <w:rFonts w:ascii="黑体" w:hAnsi="黑体" w:eastAsia="黑体"/>
          <w:kern w:val="0"/>
          <w:sz w:val="30"/>
          <w:szCs w:val="30"/>
        </w:rPr>
      </w:pPr>
      <w:r>
        <w:rPr>
          <w:rFonts w:hint="eastAsia" w:ascii="黑体" w:hAnsi="黑体" w:eastAsia="黑体"/>
          <w:kern w:val="0"/>
          <w:sz w:val="30"/>
          <w:szCs w:val="30"/>
        </w:rPr>
        <w:t>七、项目实施计划</w:t>
      </w:r>
    </w:p>
    <w:p>
      <w:pPr>
        <w:widowControl/>
        <w:ind w:firstLine="600" w:firstLineChars="200"/>
        <w:jc w:val="left"/>
        <w:rPr>
          <w:rFonts w:eastAsiaTheme="minorEastAsia"/>
          <w:kern w:val="0"/>
          <w:sz w:val="30"/>
          <w:szCs w:val="30"/>
        </w:rPr>
      </w:pPr>
      <w:r>
        <w:rPr>
          <w:rFonts w:hint="eastAsia" w:eastAsiaTheme="minorEastAsia"/>
          <w:kern w:val="0"/>
          <w:sz w:val="30"/>
          <w:szCs w:val="30"/>
        </w:rPr>
        <w:t>以党的十九大精神为指导，全面实施教育优先发展战略，把立德树人和拔掉穷根为根本任务，努力创办均衡公平的义务教育、优质多样的高中教育，让学生成才、家长放心、社会满意。</w:t>
      </w:r>
    </w:p>
    <w:p>
      <w:pPr>
        <w:widowControl/>
        <w:ind w:left="600"/>
        <w:jc w:val="left"/>
        <w:rPr>
          <w:rFonts w:ascii="黑体" w:hAnsi="黑体" w:eastAsia="黑体"/>
          <w:kern w:val="0"/>
          <w:sz w:val="30"/>
          <w:szCs w:val="30"/>
        </w:rPr>
      </w:pPr>
      <w:r>
        <w:rPr>
          <w:rFonts w:hint="eastAsia" w:ascii="黑体" w:hAnsi="黑体" w:eastAsia="黑体"/>
          <w:kern w:val="0"/>
          <w:sz w:val="30"/>
          <w:szCs w:val="30"/>
        </w:rPr>
        <w:t>八、项目实施成效</w:t>
      </w:r>
    </w:p>
    <w:p>
      <w:pPr>
        <w:autoSpaceDE w:val="0"/>
        <w:autoSpaceDN w:val="0"/>
        <w:adjustRightInd w:val="0"/>
        <w:ind w:firstLine="600" w:firstLineChars="200"/>
        <w:jc w:val="left"/>
        <w:rPr>
          <w:rFonts w:hint="eastAsia" w:eastAsiaTheme="minorEastAsia"/>
          <w:kern w:val="0"/>
          <w:sz w:val="30"/>
          <w:szCs w:val="30"/>
        </w:rPr>
      </w:pPr>
      <w:r>
        <w:rPr>
          <w:rFonts w:hint="eastAsia" w:eastAsiaTheme="minorEastAsia"/>
          <w:kern w:val="0"/>
          <w:sz w:val="30"/>
          <w:szCs w:val="30"/>
        </w:rPr>
        <w:t>自我县实现县内农村家庭就读高中阶段学生免费就学以来，取得了良好的成效，主要表现在：</w:t>
      </w:r>
    </w:p>
    <w:p>
      <w:pPr>
        <w:autoSpaceDE w:val="0"/>
        <w:autoSpaceDN w:val="0"/>
        <w:adjustRightInd w:val="0"/>
        <w:ind w:firstLine="600" w:firstLineChars="200"/>
        <w:jc w:val="left"/>
        <w:rPr>
          <w:rFonts w:hint="eastAsia" w:eastAsiaTheme="minorEastAsia"/>
          <w:kern w:val="0"/>
          <w:sz w:val="30"/>
          <w:szCs w:val="30"/>
        </w:rPr>
      </w:pPr>
      <w:r>
        <w:rPr>
          <w:rFonts w:hint="eastAsia" w:eastAsiaTheme="minorEastAsia"/>
          <w:kern w:val="0"/>
          <w:sz w:val="30"/>
          <w:szCs w:val="30"/>
        </w:rPr>
        <w:t>一、让贫困家庭孩子共享教育资源，增加贫困家庭劳动年龄人口受教育年限，提升贫困地区教育发展水平，阻断贫困代际传递，提高贫困人口素质，增强教育对贫困地区经济社会发展的支持力度。</w:t>
      </w:r>
    </w:p>
    <w:p>
      <w:pPr>
        <w:autoSpaceDE w:val="0"/>
        <w:autoSpaceDN w:val="0"/>
        <w:adjustRightInd w:val="0"/>
        <w:ind w:firstLine="600" w:firstLineChars="200"/>
        <w:jc w:val="left"/>
        <w:rPr>
          <w:rFonts w:eastAsiaTheme="minorEastAsia"/>
          <w:kern w:val="0"/>
          <w:sz w:val="30"/>
          <w:szCs w:val="30"/>
        </w:rPr>
      </w:pPr>
      <w:r>
        <w:rPr>
          <w:rFonts w:hint="eastAsia" w:eastAsiaTheme="minorEastAsia"/>
          <w:kern w:val="0"/>
          <w:sz w:val="30"/>
          <w:szCs w:val="30"/>
        </w:rPr>
        <w:t>二、近几年的高中教学质量也有了突飞猛进的发展，首先是高考2018、2019、2020年均有学生考入清华、北大，实现清华、北大三连冠。其次是2020年禄劝高考成绩取得“两个首次”：首次有考生高考成绩714分，超过700分；首次有考生高考成绩进入全省前50名。第三是禄劝高考上线率稳步提升。</w:t>
      </w:r>
      <w:r>
        <w:rPr>
          <w:rFonts w:hint="eastAsia" w:ascii="宋体" w:hAnsi="宋体" w:cs="TimesNewRomanPSMT"/>
          <w:color w:val="000000"/>
          <w:kern w:val="0"/>
          <w:sz w:val="32"/>
          <w:szCs w:val="32"/>
        </w:rPr>
        <w:t xml:space="preserve"> 2020 </w:t>
      </w:r>
      <w:r>
        <w:rPr>
          <w:rFonts w:hint="eastAsia" w:ascii="宋体" w:hAnsi="宋体" w:cs="仿宋"/>
          <w:color w:val="000000"/>
          <w:kern w:val="0"/>
          <w:sz w:val="32"/>
          <w:szCs w:val="32"/>
        </w:rPr>
        <w:t>年一本上线</w:t>
      </w:r>
      <w:r>
        <w:rPr>
          <w:rFonts w:hint="eastAsia" w:ascii="宋体" w:hAnsi="宋体" w:cs="TimesNewRomanPSMT"/>
          <w:color w:val="000000"/>
          <w:kern w:val="0"/>
          <w:sz w:val="32"/>
          <w:szCs w:val="32"/>
        </w:rPr>
        <w:t xml:space="preserve">126 </w:t>
      </w:r>
      <w:r>
        <w:rPr>
          <w:rFonts w:hint="eastAsia" w:ascii="宋体" w:hAnsi="宋体" w:cs="仿宋"/>
          <w:color w:val="000000"/>
          <w:kern w:val="0"/>
          <w:sz w:val="32"/>
          <w:szCs w:val="32"/>
        </w:rPr>
        <w:t>人，上线率</w:t>
      </w:r>
      <w:r>
        <w:rPr>
          <w:rFonts w:hint="eastAsia" w:ascii="宋体" w:hAnsi="宋体" w:cs="TimesNewRomanPSMT"/>
          <w:color w:val="000000"/>
          <w:kern w:val="0"/>
          <w:sz w:val="32"/>
          <w:szCs w:val="32"/>
        </w:rPr>
        <w:t>5.71%</w:t>
      </w:r>
      <w:r>
        <w:rPr>
          <w:rFonts w:hint="eastAsia" w:ascii="宋体" w:hAnsi="宋体" w:cs="仿宋"/>
          <w:color w:val="000000"/>
          <w:kern w:val="0"/>
          <w:sz w:val="32"/>
          <w:szCs w:val="32"/>
        </w:rPr>
        <w:t>，比</w:t>
      </w:r>
      <w:r>
        <w:rPr>
          <w:rFonts w:hint="eastAsia" w:ascii="宋体" w:hAnsi="宋体" w:cs="TimesNewRomanPSMT"/>
          <w:color w:val="000000"/>
          <w:kern w:val="0"/>
          <w:sz w:val="32"/>
          <w:szCs w:val="32"/>
        </w:rPr>
        <w:t xml:space="preserve">2019 </w:t>
      </w:r>
      <w:r>
        <w:rPr>
          <w:rFonts w:hint="eastAsia" w:ascii="宋体" w:hAnsi="宋体" w:cs="仿宋"/>
          <w:color w:val="000000"/>
          <w:kern w:val="0"/>
          <w:sz w:val="32"/>
          <w:szCs w:val="32"/>
        </w:rPr>
        <w:t>年（</w:t>
      </w:r>
      <w:r>
        <w:rPr>
          <w:rFonts w:hint="eastAsia" w:ascii="宋体" w:hAnsi="宋体" w:cs="TimesNewRomanPSMT"/>
          <w:color w:val="000000"/>
          <w:kern w:val="0"/>
          <w:sz w:val="32"/>
          <w:szCs w:val="32"/>
        </w:rPr>
        <w:t>5.64%</w:t>
      </w:r>
      <w:r>
        <w:rPr>
          <w:rFonts w:hint="eastAsia" w:ascii="宋体" w:hAnsi="宋体" w:cs="仿宋"/>
          <w:color w:val="000000"/>
          <w:kern w:val="0"/>
          <w:sz w:val="32"/>
          <w:szCs w:val="32"/>
        </w:rPr>
        <w:t>）</w:t>
      </w:r>
      <w:r>
        <w:rPr>
          <w:rFonts w:hint="eastAsia" w:ascii="宋体" w:hAnsi="宋体" w:cs="仿宋"/>
          <w:kern w:val="0"/>
          <w:sz w:val="32"/>
          <w:szCs w:val="32"/>
        </w:rPr>
        <w:t>提升</w:t>
      </w:r>
      <w:r>
        <w:rPr>
          <w:rFonts w:hint="eastAsia" w:ascii="宋体" w:hAnsi="宋体" w:cs="TimesNewRomanPSMT"/>
          <w:kern w:val="0"/>
          <w:sz w:val="32"/>
          <w:szCs w:val="32"/>
        </w:rPr>
        <w:t>0.07%</w:t>
      </w:r>
      <w:r>
        <w:rPr>
          <w:rFonts w:hint="eastAsia" w:ascii="宋体" w:hAnsi="宋体" w:cs="仿宋"/>
          <w:kern w:val="0"/>
          <w:sz w:val="32"/>
          <w:szCs w:val="32"/>
        </w:rPr>
        <w:t>；二本上线</w:t>
      </w:r>
      <w:r>
        <w:rPr>
          <w:rFonts w:hint="eastAsia" w:ascii="宋体" w:hAnsi="宋体" w:cs="TimesNewRomanPSMT"/>
          <w:kern w:val="0"/>
          <w:sz w:val="32"/>
          <w:szCs w:val="32"/>
        </w:rPr>
        <w:t xml:space="preserve">811 </w:t>
      </w:r>
      <w:r>
        <w:rPr>
          <w:rFonts w:hint="eastAsia" w:ascii="宋体" w:hAnsi="宋体" w:cs="仿宋"/>
          <w:kern w:val="0"/>
          <w:sz w:val="32"/>
          <w:szCs w:val="32"/>
        </w:rPr>
        <w:t>人，上线率</w:t>
      </w:r>
      <w:r>
        <w:rPr>
          <w:rFonts w:ascii="宋体" w:hAnsi="宋体" w:cs="TimesNewRomanPSMT"/>
          <w:kern w:val="0"/>
          <w:sz w:val="32"/>
          <w:szCs w:val="32"/>
        </w:rPr>
        <w:t>36.75%</w:t>
      </w:r>
      <w:r>
        <w:rPr>
          <w:rFonts w:hint="eastAsia" w:ascii="宋体" w:hAnsi="宋体" w:cs="仿宋"/>
          <w:kern w:val="0"/>
          <w:sz w:val="32"/>
          <w:szCs w:val="32"/>
        </w:rPr>
        <w:t>，比</w:t>
      </w:r>
      <w:r>
        <w:rPr>
          <w:rFonts w:ascii="宋体" w:hAnsi="宋体" w:cs="TimesNewRomanPSMT"/>
          <w:kern w:val="0"/>
          <w:sz w:val="32"/>
          <w:szCs w:val="32"/>
        </w:rPr>
        <w:t xml:space="preserve">2019 </w:t>
      </w:r>
      <w:r>
        <w:rPr>
          <w:rFonts w:hint="eastAsia" w:ascii="宋体" w:hAnsi="宋体" w:cs="仿宋"/>
          <w:kern w:val="0"/>
          <w:sz w:val="32"/>
          <w:szCs w:val="32"/>
        </w:rPr>
        <w:t>年（</w:t>
      </w:r>
      <w:r>
        <w:rPr>
          <w:rFonts w:ascii="宋体" w:hAnsi="宋体" w:cs="TimesNewRomanPSMT"/>
          <w:kern w:val="0"/>
          <w:sz w:val="32"/>
          <w:szCs w:val="32"/>
        </w:rPr>
        <w:t>28.96%</w:t>
      </w:r>
      <w:r>
        <w:rPr>
          <w:rFonts w:hint="eastAsia" w:ascii="宋体" w:hAnsi="宋体" w:cs="仿宋"/>
          <w:kern w:val="0"/>
          <w:sz w:val="32"/>
          <w:szCs w:val="32"/>
        </w:rPr>
        <w:t>）提升</w:t>
      </w:r>
      <w:r>
        <w:rPr>
          <w:rFonts w:ascii="宋体" w:hAnsi="宋体" w:cs="TimesNewRomanPSMT"/>
          <w:kern w:val="0"/>
          <w:sz w:val="32"/>
          <w:szCs w:val="32"/>
        </w:rPr>
        <w:t>7.79%</w:t>
      </w:r>
      <w:r>
        <w:rPr>
          <w:rFonts w:hint="eastAsia" w:ascii="宋体" w:hAnsi="宋体" w:cs="仿宋"/>
          <w:kern w:val="0"/>
          <w:sz w:val="32"/>
          <w:szCs w:val="32"/>
        </w:rPr>
        <w:t>；本科共上线</w:t>
      </w:r>
      <w:r>
        <w:rPr>
          <w:rFonts w:ascii="宋体" w:hAnsi="宋体" w:cs="TimesNewRomanPSMT"/>
          <w:kern w:val="0"/>
          <w:sz w:val="32"/>
          <w:szCs w:val="32"/>
        </w:rPr>
        <w:t>937</w:t>
      </w:r>
      <w:r>
        <w:rPr>
          <w:rFonts w:hint="eastAsia" w:ascii="宋体" w:hAnsi="宋体" w:cs="仿宋"/>
          <w:kern w:val="0"/>
          <w:sz w:val="32"/>
          <w:szCs w:val="32"/>
        </w:rPr>
        <w:t>人，上线率</w:t>
      </w:r>
      <w:r>
        <w:rPr>
          <w:rFonts w:ascii="宋体" w:hAnsi="宋体" w:cs="TimesNewRomanPSMT"/>
          <w:kern w:val="0"/>
          <w:sz w:val="32"/>
          <w:szCs w:val="32"/>
        </w:rPr>
        <w:t>42.46%</w:t>
      </w:r>
      <w:r>
        <w:rPr>
          <w:rFonts w:hint="eastAsia" w:ascii="宋体" w:hAnsi="宋体" w:cs="仿宋"/>
          <w:kern w:val="0"/>
          <w:sz w:val="32"/>
          <w:szCs w:val="32"/>
        </w:rPr>
        <w:t>，比</w:t>
      </w:r>
      <w:r>
        <w:rPr>
          <w:rFonts w:ascii="宋体" w:hAnsi="宋体" w:cs="TimesNewRomanPSMT"/>
          <w:kern w:val="0"/>
          <w:sz w:val="32"/>
          <w:szCs w:val="32"/>
        </w:rPr>
        <w:t xml:space="preserve">2019 </w:t>
      </w:r>
      <w:r>
        <w:rPr>
          <w:rFonts w:hint="eastAsia" w:ascii="宋体" w:hAnsi="宋体" w:cs="仿宋"/>
          <w:kern w:val="0"/>
          <w:sz w:val="32"/>
          <w:szCs w:val="32"/>
        </w:rPr>
        <w:t>年（</w:t>
      </w:r>
      <w:r>
        <w:rPr>
          <w:rFonts w:ascii="宋体" w:hAnsi="宋体" w:cs="TimesNewRomanPSMT"/>
          <w:kern w:val="0"/>
          <w:sz w:val="32"/>
          <w:szCs w:val="32"/>
        </w:rPr>
        <w:t>34.60%</w:t>
      </w:r>
      <w:r>
        <w:rPr>
          <w:rFonts w:hint="eastAsia" w:ascii="宋体" w:hAnsi="宋体" w:cs="仿宋"/>
          <w:kern w:val="0"/>
          <w:sz w:val="32"/>
          <w:szCs w:val="32"/>
        </w:rPr>
        <w:t>）提升</w:t>
      </w:r>
      <w:r>
        <w:rPr>
          <w:rFonts w:ascii="宋体" w:hAnsi="宋体" w:cs="TimesNewRomanPSMT"/>
          <w:kern w:val="0"/>
          <w:sz w:val="32"/>
          <w:szCs w:val="32"/>
        </w:rPr>
        <w:t>7.86%</w:t>
      </w:r>
      <w:r>
        <w:rPr>
          <w:rFonts w:hint="eastAsia" w:ascii="宋体" w:hAnsi="宋体" w:cs="仿宋"/>
          <w:kern w:val="0"/>
          <w:sz w:val="32"/>
          <w:szCs w:val="32"/>
        </w:rPr>
        <w:t>；合计共上线</w:t>
      </w:r>
      <w:r>
        <w:rPr>
          <w:rFonts w:ascii="宋体" w:hAnsi="宋体" w:cs="TimesNewRomanPSMT"/>
          <w:kern w:val="0"/>
          <w:sz w:val="32"/>
          <w:szCs w:val="32"/>
        </w:rPr>
        <w:t xml:space="preserve">2206 </w:t>
      </w:r>
      <w:r>
        <w:rPr>
          <w:rFonts w:hint="eastAsia" w:ascii="宋体" w:hAnsi="宋体" w:cs="仿宋"/>
          <w:kern w:val="0"/>
          <w:sz w:val="32"/>
          <w:szCs w:val="32"/>
        </w:rPr>
        <w:t>人，综合上线率</w:t>
      </w:r>
      <w:r>
        <w:rPr>
          <w:rFonts w:ascii="宋体" w:hAnsi="宋体" w:cs="TimesNewRomanPSMT"/>
          <w:kern w:val="0"/>
          <w:sz w:val="32"/>
          <w:szCs w:val="32"/>
        </w:rPr>
        <w:t>99.95%</w:t>
      </w:r>
      <w:r>
        <w:rPr>
          <w:rFonts w:hint="eastAsia" w:ascii="宋体" w:hAnsi="宋体" w:cs="仿宋"/>
          <w:kern w:val="0"/>
          <w:sz w:val="32"/>
          <w:szCs w:val="32"/>
        </w:rPr>
        <w:t>，比</w:t>
      </w:r>
      <w:r>
        <w:rPr>
          <w:rFonts w:ascii="宋体" w:hAnsi="宋体" w:cs="TimesNewRomanPSMT"/>
          <w:kern w:val="0"/>
          <w:sz w:val="32"/>
          <w:szCs w:val="32"/>
        </w:rPr>
        <w:t xml:space="preserve">2019 </w:t>
      </w:r>
      <w:r>
        <w:rPr>
          <w:rFonts w:hint="eastAsia" w:ascii="宋体" w:hAnsi="宋体" w:cs="仿宋"/>
          <w:kern w:val="0"/>
          <w:sz w:val="32"/>
          <w:szCs w:val="32"/>
        </w:rPr>
        <w:t>年（</w:t>
      </w:r>
      <w:r>
        <w:rPr>
          <w:rFonts w:ascii="宋体" w:hAnsi="宋体" w:cs="TimesNewRomanPSMT"/>
          <w:kern w:val="0"/>
          <w:sz w:val="32"/>
          <w:szCs w:val="32"/>
        </w:rPr>
        <w:t>99.92%</w:t>
      </w:r>
      <w:r>
        <w:rPr>
          <w:rFonts w:hint="eastAsia" w:ascii="宋体" w:hAnsi="宋体" w:cs="仿宋"/>
          <w:kern w:val="0"/>
          <w:sz w:val="32"/>
          <w:szCs w:val="32"/>
        </w:rPr>
        <w:t>）提升</w:t>
      </w:r>
      <w:r>
        <w:rPr>
          <w:rFonts w:ascii="宋体" w:hAnsi="宋体" w:cs="TimesNewRomanPSMT"/>
          <w:kern w:val="0"/>
          <w:sz w:val="32"/>
          <w:szCs w:val="32"/>
        </w:rPr>
        <w:t>0.03%</w:t>
      </w:r>
      <w:r>
        <w:rPr>
          <w:rFonts w:hint="eastAsia" w:ascii="宋体" w:hAnsi="宋体" w:cs="仿宋"/>
          <w:kern w:val="0"/>
          <w:sz w:val="32"/>
          <w:szCs w:val="32"/>
        </w:rPr>
        <w:t>。第四是</w:t>
      </w:r>
      <w:r>
        <w:rPr>
          <w:rFonts w:hint="eastAsia" w:ascii="宋体" w:hAnsi="宋体" w:cs="黑体"/>
          <w:kern w:val="0"/>
          <w:sz w:val="32"/>
          <w:szCs w:val="32"/>
        </w:rPr>
        <w:t>，高分段学生不断增多。</w:t>
      </w:r>
      <w:r>
        <w:rPr>
          <w:rFonts w:hint="eastAsia" w:ascii="宋体" w:hAnsi="宋体" w:cs="仿宋"/>
          <w:kern w:val="0"/>
          <w:sz w:val="32"/>
          <w:szCs w:val="32"/>
        </w:rPr>
        <w:t>今年</w:t>
      </w:r>
      <w:r>
        <w:rPr>
          <w:rFonts w:ascii="宋体" w:hAnsi="宋体" w:cs="TimesNewRomanPSMT"/>
          <w:kern w:val="0"/>
          <w:sz w:val="32"/>
          <w:szCs w:val="32"/>
        </w:rPr>
        <w:t xml:space="preserve">700 </w:t>
      </w:r>
      <w:r>
        <w:rPr>
          <w:rFonts w:hint="eastAsia" w:ascii="宋体" w:hAnsi="宋体" w:cs="仿宋"/>
          <w:kern w:val="0"/>
          <w:sz w:val="32"/>
          <w:szCs w:val="32"/>
        </w:rPr>
        <w:t>分以上</w:t>
      </w:r>
      <w:r>
        <w:rPr>
          <w:rFonts w:ascii="宋体" w:hAnsi="宋体" w:cs="TimesNewRomanPSMT"/>
          <w:kern w:val="0"/>
          <w:sz w:val="32"/>
          <w:szCs w:val="32"/>
        </w:rPr>
        <w:t xml:space="preserve">1 </w:t>
      </w:r>
      <w:r>
        <w:rPr>
          <w:rFonts w:hint="eastAsia" w:ascii="宋体" w:hAnsi="宋体" w:cs="仿宋"/>
          <w:kern w:val="0"/>
          <w:sz w:val="32"/>
          <w:szCs w:val="32"/>
        </w:rPr>
        <w:t>人，</w:t>
      </w:r>
      <w:r>
        <w:rPr>
          <w:rFonts w:ascii="宋体" w:hAnsi="宋体" w:cs="TimesNewRomanPSMT"/>
          <w:kern w:val="0"/>
          <w:sz w:val="32"/>
          <w:szCs w:val="32"/>
        </w:rPr>
        <w:t xml:space="preserve">670 </w:t>
      </w:r>
      <w:r>
        <w:rPr>
          <w:rFonts w:hint="eastAsia" w:ascii="宋体" w:hAnsi="宋体" w:cs="仿宋"/>
          <w:kern w:val="0"/>
          <w:sz w:val="32"/>
          <w:szCs w:val="32"/>
        </w:rPr>
        <w:t>以上</w:t>
      </w:r>
      <w:r>
        <w:rPr>
          <w:rFonts w:ascii="宋体" w:hAnsi="宋体" w:cs="TimesNewRomanPSMT"/>
          <w:kern w:val="0"/>
          <w:sz w:val="32"/>
          <w:szCs w:val="32"/>
        </w:rPr>
        <w:t xml:space="preserve">4 </w:t>
      </w:r>
      <w:r>
        <w:rPr>
          <w:rFonts w:hint="eastAsia" w:ascii="宋体" w:hAnsi="宋体" w:cs="仿宋"/>
          <w:kern w:val="0"/>
          <w:sz w:val="32"/>
          <w:szCs w:val="32"/>
        </w:rPr>
        <w:t>人，</w:t>
      </w:r>
      <w:r>
        <w:rPr>
          <w:rFonts w:ascii="宋体" w:hAnsi="宋体" w:cs="TimesNewRomanPSMT"/>
          <w:kern w:val="0"/>
          <w:sz w:val="32"/>
          <w:szCs w:val="32"/>
        </w:rPr>
        <w:t xml:space="preserve">650 </w:t>
      </w:r>
      <w:r>
        <w:rPr>
          <w:rFonts w:hint="eastAsia" w:ascii="宋体" w:hAnsi="宋体" w:cs="仿宋"/>
          <w:kern w:val="0"/>
          <w:sz w:val="32"/>
          <w:szCs w:val="32"/>
        </w:rPr>
        <w:t>分以上</w:t>
      </w:r>
      <w:r>
        <w:rPr>
          <w:rFonts w:ascii="宋体" w:hAnsi="宋体" w:cs="TimesNewRomanPSMT"/>
          <w:kern w:val="0"/>
          <w:sz w:val="32"/>
          <w:szCs w:val="32"/>
        </w:rPr>
        <w:t xml:space="preserve">6 </w:t>
      </w:r>
      <w:r>
        <w:rPr>
          <w:rFonts w:hint="eastAsia" w:ascii="宋体" w:hAnsi="宋体" w:cs="仿宋"/>
          <w:kern w:val="0"/>
          <w:sz w:val="32"/>
          <w:szCs w:val="32"/>
        </w:rPr>
        <w:t>人，</w:t>
      </w:r>
      <w:r>
        <w:rPr>
          <w:rFonts w:ascii="宋体" w:hAnsi="宋体" w:cs="TimesNewRomanPSMT"/>
          <w:kern w:val="0"/>
          <w:sz w:val="32"/>
          <w:szCs w:val="32"/>
        </w:rPr>
        <w:t xml:space="preserve">630 </w:t>
      </w:r>
      <w:r>
        <w:rPr>
          <w:rFonts w:hint="eastAsia" w:ascii="宋体" w:hAnsi="宋体" w:cs="仿宋"/>
          <w:kern w:val="0"/>
          <w:sz w:val="32"/>
          <w:szCs w:val="32"/>
        </w:rPr>
        <w:t>分以上</w:t>
      </w:r>
      <w:r>
        <w:rPr>
          <w:rFonts w:ascii="宋体" w:hAnsi="宋体" w:cs="TimesNewRomanPSMT"/>
          <w:kern w:val="0"/>
          <w:sz w:val="32"/>
          <w:szCs w:val="32"/>
        </w:rPr>
        <w:t xml:space="preserve">14 </w:t>
      </w:r>
      <w:r>
        <w:rPr>
          <w:rFonts w:hint="eastAsia" w:ascii="宋体" w:hAnsi="宋体" w:cs="仿宋"/>
          <w:kern w:val="0"/>
          <w:sz w:val="32"/>
          <w:szCs w:val="32"/>
        </w:rPr>
        <w:t>人，</w:t>
      </w:r>
      <w:r>
        <w:rPr>
          <w:rFonts w:ascii="宋体" w:hAnsi="宋体" w:cs="TimesNewRomanPSMT"/>
          <w:kern w:val="0"/>
          <w:sz w:val="32"/>
          <w:szCs w:val="32"/>
        </w:rPr>
        <w:t xml:space="preserve">600 </w:t>
      </w:r>
      <w:r>
        <w:rPr>
          <w:rFonts w:hint="eastAsia" w:ascii="宋体" w:hAnsi="宋体" w:cs="仿宋"/>
          <w:kern w:val="0"/>
          <w:sz w:val="32"/>
          <w:szCs w:val="32"/>
        </w:rPr>
        <w:t>分以上</w:t>
      </w:r>
      <w:r>
        <w:rPr>
          <w:rFonts w:ascii="宋体" w:hAnsi="宋体" w:cs="TimesNewRomanPSMT"/>
          <w:kern w:val="0"/>
          <w:sz w:val="32"/>
          <w:szCs w:val="32"/>
        </w:rPr>
        <w:t xml:space="preserve">30 </w:t>
      </w:r>
      <w:r>
        <w:rPr>
          <w:rFonts w:hint="eastAsia" w:ascii="宋体" w:hAnsi="宋体" w:cs="仿宋"/>
          <w:kern w:val="0"/>
          <w:sz w:val="32"/>
          <w:szCs w:val="32"/>
        </w:rPr>
        <w:t>人，</w:t>
      </w:r>
      <w:r>
        <w:rPr>
          <w:rFonts w:ascii="宋体" w:hAnsi="宋体" w:cs="TimesNewRomanPSMT"/>
          <w:kern w:val="0"/>
          <w:sz w:val="32"/>
          <w:szCs w:val="32"/>
        </w:rPr>
        <w:t xml:space="preserve">580 </w:t>
      </w:r>
      <w:r>
        <w:rPr>
          <w:rFonts w:hint="eastAsia" w:ascii="宋体" w:hAnsi="宋体" w:cs="仿宋"/>
          <w:kern w:val="0"/>
          <w:sz w:val="32"/>
          <w:szCs w:val="32"/>
        </w:rPr>
        <w:t>分以上</w:t>
      </w:r>
      <w:r>
        <w:rPr>
          <w:rFonts w:ascii="宋体" w:hAnsi="宋体" w:cs="TimesNewRomanPSMT"/>
          <w:kern w:val="0"/>
          <w:sz w:val="32"/>
          <w:szCs w:val="32"/>
        </w:rPr>
        <w:t xml:space="preserve">52 </w:t>
      </w:r>
      <w:r>
        <w:rPr>
          <w:rFonts w:hint="eastAsia" w:ascii="宋体" w:hAnsi="宋体" w:cs="仿宋"/>
          <w:kern w:val="0"/>
          <w:sz w:val="32"/>
          <w:szCs w:val="32"/>
        </w:rPr>
        <w:t>人，</w:t>
      </w:r>
      <w:r>
        <w:rPr>
          <w:rFonts w:ascii="宋体" w:hAnsi="宋体" w:cs="TimesNewRomanPSMT"/>
          <w:kern w:val="0"/>
          <w:sz w:val="32"/>
          <w:szCs w:val="32"/>
        </w:rPr>
        <w:t xml:space="preserve">550 </w:t>
      </w:r>
      <w:r>
        <w:rPr>
          <w:rFonts w:hint="eastAsia" w:ascii="宋体" w:hAnsi="宋体" w:cs="仿宋"/>
          <w:kern w:val="0"/>
          <w:sz w:val="32"/>
          <w:szCs w:val="32"/>
        </w:rPr>
        <w:t>分以上</w:t>
      </w:r>
      <w:r>
        <w:rPr>
          <w:rFonts w:ascii="宋体" w:hAnsi="宋体" w:cs="TimesNewRomanPSMT"/>
          <w:kern w:val="0"/>
          <w:sz w:val="32"/>
          <w:szCs w:val="32"/>
        </w:rPr>
        <w:t xml:space="preserve">119 </w:t>
      </w:r>
      <w:r>
        <w:rPr>
          <w:rFonts w:hint="eastAsia" w:ascii="宋体" w:hAnsi="宋体" w:cs="仿宋"/>
          <w:kern w:val="0"/>
          <w:sz w:val="32"/>
          <w:szCs w:val="32"/>
        </w:rPr>
        <w:t>人，</w:t>
      </w:r>
      <w:r>
        <w:rPr>
          <w:rFonts w:ascii="宋体" w:hAnsi="宋体" w:cs="TimesNewRomanPSMT"/>
          <w:kern w:val="0"/>
          <w:sz w:val="32"/>
          <w:szCs w:val="32"/>
        </w:rPr>
        <w:t xml:space="preserve">500 </w:t>
      </w:r>
      <w:r>
        <w:rPr>
          <w:rFonts w:hint="eastAsia" w:ascii="宋体" w:hAnsi="宋体" w:cs="仿宋"/>
          <w:kern w:val="0"/>
          <w:sz w:val="32"/>
          <w:szCs w:val="32"/>
        </w:rPr>
        <w:t>分以上</w:t>
      </w:r>
      <w:r>
        <w:rPr>
          <w:rFonts w:ascii="宋体" w:hAnsi="宋体" w:cs="TimesNewRomanPSMT"/>
          <w:kern w:val="0"/>
          <w:sz w:val="32"/>
          <w:szCs w:val="32"/>
        </w:rPr>
        <w:t xml:space="preserve">394 </w:t>
      </w:r>
      <w:r>
        <w:rPr>
          <w:rFonts w:hint="eastAsia" w:ascii="宋体" w:hAnsi="宋体" w:cs="仿宋"/>
          <w:kern w:val="0"/>
          <w:sz w:val="32"/>
          <w:szCs w:val="32"/>
        </w:rPr>
        <w:t>人。</w:t>
      </w:r>
      <w:r>
        <w:rPr>
          <w:rFonts w:ascii="宋体" w:hAnsi="宋体" w:cs="TimesNewRomanPSMT"/>
          <w:kern w:val="0"/>
          <w:sz w:val="32"/>
          <w:szCs w:val="32"/>
        </w:rPr>
        <w:t>600</w:t>
      </w:r>
      <w:r>
        <w:rPr>
          <w:rFonts w:hint="eastAsia" w:ascii="宋体" w:hAnsi="宋体" w:cs="仿宋"/>
          <w:kern w:val="0"/>
          <w:sz w:val="32"/>
          <w:szCs w:val="32"/>
        </w:rPr>
        <w:t>分以上人数在高考人数减少</w:t>
      </w:r>
      <w:r>
        <w:rPr>
          <w:rFonts w:ascii="宋体" w:hAnsi="宋体" w:cs="TimesNewRomanPSMT"/>
          <w:kern w:val="0"/>
          <w:sz w:val="32"/>
          <w:szCs w:val="32"/>
        </w:rPr>
        <w:t xml:space="preserve">300 </w:t>
      </w:r>
      <w:r>
        <w:rPr>
          <w:rFonts w:hint="eastAsia" w:ascii="宋体" w:hAnsi="宋体" w:cs="仿宋"/>
          <w:kern w:val="0"/>
          <w:sz w:val="32"/>
          <w:szCs w:val="32"/>
        </w:rPr>
        <w:t>多的情况下和</w:t>
      </w:r>
      <w:r>
        <w:rPr>
          <w:rFonts w:ascii="宋体" w:hAnsi="宋体" w:cs="TimesNewRomanPSMT"/>
          <w:kern w:val="0"/>
          <w:sz w:val="32"/>
          <w:szCs w:val="32"/>
        </w:rPr>
        <w:t xml:space="preserve">2019 </w:t>
      </w:r>
      <w:r>
        <w:rPr>
          <w:rFonts w:hint="eastAsia" w:ascii="宋体" w:hAnsi="宋体" w:cs="仿宋"/>
          <w:kern w:val="0"/>
          <w:sz w:val="32"/>
          <w:szCs w:val="32"/>
        </w:rPr>
        <w:t>年持平，但</w:t>
      </w:r>
      <w:r>
        <w:rPr>
          <w:rFonts w:ascii="宋体" w:hAnsi="宋体" w:cs="TimesNewRomanPSMT"/>
          <w:kern w:val="0"/>
          <w:sz w:val="32"/>
          <w:szCs w:val="32"/>
        </w:rPr>
        <w:t>650</w:t>
      </w:r>
      <w:r>
        <w:rPr>
          <w:rFonts w:hint="eastAsia" w:ascii="宋体" w:hAnsi="宋体" w:cs="仿宋"/>
          <w:kern w:val="0"/>
          <w:sz w:val="32"/>
          <w:szCs w:val="32"/>
        </w:rPr>
        <w:t>分以上人数较</w:t>
      </w:r>
      <w:r>
        <w:rPr>
          <w:rFonts w:ascii="宋体" w:hAnsi="宋体" w:cs="TimesNewRomanPSMT"/>
          <w:kern w:val="0"/>
          <w:sz w:val="32"/>
          <w:szCs w:val="32"/>
        </w:rPr>
        <w:t xml:space="preserve">2019 </w:t>
      </w:r>
      <w:r>
        <w:rPr>
          <w:rFonts w:hint="eastAsia" w:ascii="宋体" w:hAnsi="宋体" w:cs="仿宋"/>
          <w:kern w:val="0"/>
          <w:sz w:val="32"/>
          <w:szCs w:val="32"/>
        </w:rPr>
        <w:t>年增加</w:t>
      </w:r>
      <w:r>
        <w:rPr>
          <w:rFonts w:ascii="宋体" w:hAnsi="宋体" w:cs="TimesNewRomanPSMT"/>
          <w:kern w:val="0"/>
          <w:sz w:val="32"/>
          <w:szCs w:val="32"/>
        </w:rPr>
        <w:t>4</w:t>
      </w:r>
      <w:r>
        <w:rPr>
          <w:rFonts w:hint="eastAsia" w:ascii="宋体" w:hAnsi="宋体" w:cs="仿宋"/>
          <w:kern w:val="0"/>
          <w:sz w:val="32"/>
          <w:szCs w:val="32"/>
        </w:rPr>
        <w:t>人，最高分达</w:t>
      </w:r>
      <w:r>
        <w:rPr>
          <w:rFonts w:ascii="宋体" w:hAnsi="宋体" w:cs="TimesNewRomanPSMT"/>
          <w:kern w:val="0"/>
          <w:sz w:val="32"/>
          <w:szCs w:val="32"/>
        </w:rPr>
        <w:t xml:space="preserve">714 </w:t>
      </w:r>
      <w:r>
        <w:rPr>
          <w:rFonts w:hint="eastAsia" w:ascii="宋体" w:hAnsi="宋体" w:cs="仿宋"/>
          <w:kern w:val="0"/>
          <w:sz w:val="32"/>
          <w:szCs w:val="32"/>
        </w:rPr>
        <w:t>分。</w:t>
      </w:r>
    </w:p>
    <w:p>
      <w:pPr>
        <w:widowControl/>
        <w:ind w:left="600"/>
        <w:jc w:val="left"/>
        <w:rPr>
          <w:rFonts w:ascii="黑体" w:hAnsi="黑体" w:eastAsia="黑体"/>
          <w:kern w:val="0"/>
          <w:sz w:val="30"/>
          <w:szCs w:val="30"/>
        </w:rPr>
      </w:pPr>
      <w:r>
        <w:rPr>
          <w:rFonts w:hint="eastAsia" w:ascii="黑体" w:hAnsi="黑体" w:eastAsia="黑体"/>
          <w:kern w:val="0"/>
          <w:sz w:val="30"/>
          <w:szCs w:val="30"/>
        </w:rPr>
        <w:t>九、项目绩效目标表</w:t>
      </w:r>
    </w:p>
    <w:tbl>
      <w:tblPr>
        <w:tblStyle w:val="4"/>
        <w:tblW w:w="8655" w:type="dxa"/>
        <w:tblInd w:w="93" w:type="dxa"/>
        <w:tblLayout w:type="fixed"/>
        <w:tblCellMar>
          <w:top w:w="0" w:type="dxa"/>
          <w:left w:w="108" w:type="dxa"/>
          <w:bottom w:w="0" w:type="dxa"/>
          <w:right w:w="108" w:type="dxa"/>
        </w:tblCellMar>
      </w:tblPr>
      <w:tblGrid>
        <w:gridCol w:w="600"/>
        <w:gridCol w:w="510"/>
        <w:gridCol w:w="1275"/>
        <w:gridCol w:w="3510"/>
        <w:gridCol w:w="1755"/>
        <w:gridCol w:w="1005"/>
      </w:tblGrid>
      <w:tr>
        <w:tblPrEx>
          <w:tblCellMar>
            <w:top w:w="0" w:type="dxa"/>
            <w:left w:w="108" w:type="dxa"/>
            <w:bottom w:w="0" w:type="dxa"/>
            <w:right w:w="108" w:type="dxa"/>
          </w:tblCellMar>
        </w:tblPrEx>
        <w:trPr>
          <w:trHeight w:val="285" w:hRule="atLeast"/>
        </w:trPr>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项目名称</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普通高中三免一补</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项目负责人</w:t>
            </w:r>
          </w:p>
        </w:tc>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p>
        </w:tc>
      </w:tr>
      <w:tr>
        <w:tblPrEx>
          <w:tblCellMar>
            <w:top w:w="0" w:type="dxa"/>
            <w:left w:w="108" w:type="dxa"/>
            <w:bottom w:w="0" w:type="dxa"/>
            <w:right w:w="108" w:type="dxa"/>
          </w:tblCellMar>
        </w:tblPrEx>
        <w:trPr>
          <w:trHeight w:val="285" w:hRule="atLeast"/>
        </w:trPr>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主管部门</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[10]教科文</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实施单位</w:t>
            </w:r>
          </w:p>
        </w:tc>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[105001]教育体育局</w:t>
            </w:r>
          </w:p>
        </w:tc>
      </w:tr>
      <w:tr>
        <w:tblPrEx>
          <w:tblCellMar>
            <w:top w:w="0" w:type="dxa"/>
            <w:left w:w="108" w:type="dxa"/>
            <w:bottom w:w="0" w:type="dxa"/>
            <w:right w:w="108" w:type="dxa"/>
          </w:tblCellMar>
        </w:tblPrEx>
        <w:trPr>
          <w:trHeight w:val="285" w:hRule="atLeast"/>
        </w:trPr>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资金情况（万元）</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b/>
                <w:bCs/>
                <w:color w:val="000000"/>
                <w:kern w:val="0"/>
                <w:sz w:val="24"/>
                <w:szCs w:val="24"/>
              </w:rPr>
            </w:pPr>
            <w:r>
              <w:rPr>
                <w:rFonts w:hint="eastAsia" w:ascii="宋体" w:hAnsi="宋体" w:cs="宋体"/>
                <w:b/>
                <w:bCs/>
                <w:color w:val="000000"/>
                <w:kern w:val="0"/>
                <w:sz w:val="24"/>
                <w:szCs w:val="24"/>
              </w:rPr>
              <w:t>年度资金总额：</w:t>
            </w:r>
          </w:p>
        </w:tc>
        <w:tc>
          <w:tcPr>
            <w:tcW w:w="62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3200</w:t>
            </w:r>
          </w:p>
        </w:tc>
      </w:tr>
      <w:tr>
        <w:tblPrEx>
          <w:tblCellMar>
            <w:top w:w="0" w:type="dxa"/>
            <w:left w:w="108" w:type="dxa"/>
            <w:bottom w:w="0" w:type="dxa"/>
            <w:right w:w="108" w:type="dxa"/>
          </w:tblCellMar>
        </w:tblPrEx>
        <w:trPr>
          <w:trHeight w:val="285" w:hRule="atLeast"/>
        </w:trPr>
        <w:tc>
          <w:tcPr>
            <w:tcW w:w="1110"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rPr>
                <w:rFonts w:ascii="宋体" w:hAnsi="宋体" w:cs="宋体"/>
                <w:b/>
                <w:bCs/>
                <w:color w:val="000000"/>
                <w:kern w:val="0"/>
                <w:sz w:val="24"/>
                <w:szCs w:val="24"/>
              </w:rPr>
            </w:pPr>
            <w:r>
              <w:rPr>
                <w:rFonts w:hint="eastAsia" w:ascii="宋体" w:hAnsi="宋体" w:cs="宋体"/>
                <w:b/>
                <w:bCs/>
                <w:color w:val="000000"/>
                <w:kern w:val="0"/>
                <w:sz w:val="24"/>
                <w:szCs w:val="24"/>
              </w:rPr>
              <w:t>其中：财政拨款</w:t>
            </w:r>
          </w:p>
        </w:tc>
        <w:tc>
          <w:tcPr>
            <w:tcW w:w="62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3200</w:t>
            </w:r>
          </w:p>
        </w:tc>
      </w:tr>
      <w:tr>
        <w:tblPrEx>
          <w:tblCellMar>
            <w:top w:w="0" w:type="dxa"/>
            <w:left w:w="108" w:type="dxa"/>
            <w:bottom w:w="0" w:type="dxa"/>
            <w:right w:w="108" w:type="dxa"/>
          </w:tblCellMar>
        </w:tblPrEx>
        <w:trPr>
          <w:trHeight w:val="285" w:hRule="atLeast"/>
        </w:trPr>
        <w:tc>
          <w:tcPr>
            <w:tcW w:w="1110"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rPr>
                <w:rFonts w:ascii="宋体" w:hAnsi="宋体" w:cs="宋体"/>
                <w:b/>
                <w:bCs/>
                <w:color w:val="000000"/>
                <w:kern w:val="0"/>
                <w:sz w:val="24"/>
                <w:szCs w:val="24"/>
              </w:rPr>
            </w:pPr>
            <w:r>
              <w:rPr>
                <w:rFonts w:hint="eastAsia" w:ascii="宋体" w:hAnsi="宋体" w:cs="宋体"/>
                <w:b/>
                <w:bCs/>
                <w:color w:val="000000"/>
                <w:kern w:val="0"/>
                <w:sz w:val="24"/>
                <w:szCs w:val="24"/>
              </w:rPr>
              <w:t>其他资金</w:t>
            </w:r>
          </w:p>
        </w:tc>
        <w:tc>
          <w:tcPr>
            <w:tcW w:w="62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0</w:t>
            </w:r>
          </w:p>
        </w:tc>
      </w:tr>
      <w:tr>
        <w:tblPrEx>
          <w:tblCellMar>
            <w:top w:w="0" w:type="dxa"/>
            <w:left w:w="108" w:type="dxa"/>
            <w:bottom w:w="0" w:type="dxa"/>
            <w:right w:w="108" w:type="dxa"/>
          </w:tblCellMar>
        </w:tblPrEx>
        <w:trPr>
          <w:trHeight w:val="285" w:hRule="atLeast"/>
        </w:trPr>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总体目标</w:t>
            </w:r>
          </w:p>
        </w:tc>
        <w:tc>
          <w:tcPr>
            <w:tcW w:w="5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年度目标</w:t>
            </w:r>
          </w:p>
        </w:tc>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年度总体目标完成情况</w:t>
            </w:r>
          </w:p>
        </w:tc>
      </w:tr>
      <w:tr>
        <w:tblPrEx>
          <w:tblCellMar>
            <w:top w:w="0" w:type="dxa"/>
            <w:left w:w="108" w:type="dxa"/>
            <w:bottom w:w="0" w:type="dxa"/>
            <w:right w:w="108" w:type="dxa"/>
          </w:tblCellMar>
        </w:tblPrEx>
        <w:trPr>
          <w:trHeight w:val="90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在实现义务教育阶段学生免费就学的基础上，实现我县县内农村家庭就读高中阶段学生学费、住宿费和教科书费全免，并补助生活费</w:t>
            </w:r>
          </w:p>
        </w:tc>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p>
        </w:tc>
      </w:tr>
      <w:tr>
        <w:tblPrEx>
          <w:tblCellMar>
            <w:top w:w="0" w:type="dxa"/>
            <w:left w:w="108" w:type="dxa"/>
            <w:bottom w:w="0" w:type="dxa"/>
            <w:right w:w="108" w:type="dxa"/>
          </w:tblCellMar>
        </w:tblPrEx>
        <w:trPr>
          <w:trHeight w:val="285" w:hRule="atLeast"/>
        </w:trPr>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绩效指标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一级指标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二级指标</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三级指标</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指标值</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全年实际值</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产出指标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数量指标</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★★★资助建档立卡贫困户子女人数（≥**人）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&gt;=1290人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人</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普通高中受助人数资助建档立卡贫困户子女人数（≥**人）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&gt;=8026人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人</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职业高中受助人数资助建档立卡贫困户子女人数（≥**人）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&gt;=3461人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人</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职业高中资助建档立卡贫困户子女人数（≥**人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&gt;=971人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人</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质量指标</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接受补助的学生中建档立卡贫困户子女占比（≥**%）</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&gt;=99%</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w:t>
            </w:r>
          </w:p>
        </w:tc>
      </w:tr>
      <w:tr>
        <w:tblPrEx>
          <w:tblCellMar>
            <w:top w:w="0" w:type="dxa"/>
            <w:left w:w="108" w:type="dxa"/>
            <w:bottom w:w="0" w:type="dxa"/>
            <w:right w:w="108" w:type="dxa"/>
          </w:tblCellMar>
        </w:tblPrEx>
        <w:trPr>
          <w:trHeight w:val="285"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资助标准达标率（100%）</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=100%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w:t>
            </w:r>
          </w:p>
        </w:tc>
      </w:tr>
      <w:tr>
        <w:tblPrEx>
          <w:tblCellMar>
            <w:top w:w="0" w:type="dxa"/>
            <w:left w:w="108" w:type="dxa"/>
            <w:bottom w:w="0" w:type="dxa"/>
            <w:right w:w="108" w:type="dxa"/>
          </w:tblCellMar>
        </w:tblPrEx>
        <w:trPr>
          <w:trHeight w:val="285"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时效指标</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资助经费及时发放率 （ 100%）</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=100%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成本指标</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★★★建档立卡贫困户子女生均资助标准（**元/学年）</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=3960元/学年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元/学年</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普通高中教科书费生均资助标准（**元/学年）</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=500元/人年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元/人年</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普通高中学费生均资助标准（**元/学年）</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=800元/人年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元/人年</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普通高中住宿费生均资助标准（**元/学年）</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=160元/人年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元/人年</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普通高中生活补助费生均资助标准（**元/学年）</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=2500元/人年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元/人年</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职业高中教科书费生均资助标准（**元/学年）</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=500元/人年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元/人年</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职业高中住宿费生均资助标准（**元/学年）</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=400元/人年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元/人年</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普通高中生活补助费生均资助标准（**元/学年）</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=3000元/人年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元/人年</w:t>
            </w:r>
          </w:p>
        </w:tc>
      </w:tr>
      <w:tr>
        <w:tblPrEx>
          <w:tblCellMar>
            <w:top w:w="0" w:type="dxa"/>
            <w:left w:w="108" w:type="dxa"/>
            <w:bottom w:w="0" w:type="dxa"/>
            <w:right w:w="108" w:type="dxa"/>
          </w:tblCellMar>
        </w:tblPrEx>
        <w:trPr>
          <w:trHeight w:val="570"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效益指标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社会效益指标</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建档立卡贫困户子女全程全部接受资助的比例（≥**%）</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&gt;=99%</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w:t>
            </w:r>
          </w:p>
        </w:tc>
      </w:tr>
      <w:tr>
        <w:tblPrEx>
          <w:tblCellMar>
            <w:top w:w="0" w:type="dxa"/>
            <w:left w:w="108" w:type="dxa"/>
            <w:bottom w:w="0" w:type="dxa"/>
            <w:right w:w="108" w:type="dxa"/>
          </w:tblCellMar>
        </w:tblPrEx>
        <w:trPr>
          <w:trHeight w:val="285"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满意度指标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服务对象满意度指标</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★受助学生满意度（≥**%）</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&gt;=90%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w:t>
            </w:r>
          </w:p>
        </w:tc>
      </w:tr>
      <w:tr>
        <w:tblPrEx>
          <w:tblCellMar>
            <w:top w:w="0" w:type="dxa"/>
            <w:left w:w="108" w:type="dxa"/>
            <w:bottom w:w="0" w:type="dxa"/>
            <w:right w:w="108" w:type="dxa"/>
          </w:tblCellMar>
        </w:tblPrEx>
        <w:trPr>
          <w:trHeight w:val="285" w:hRule="atLeast"/>
        </w:trPr>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b/>
                <w:bCs/>
                <w:color w:val="000000"/>
                <w:kern w:val="0"/>
                <w:sz w:val="24"/>
                <w:szCs w:val="24"/>
              </w:rPr>
            </w:pPr>
          </w:p>
        </w:tc>
        <w:tc>
          <w:tcPr>
            <w:tcW w:w="5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szCs w:val="24"/>
              </w:rPr>
            </w:pP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受助学生家长满意度（≥**%）</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&gt;=90%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w:t>
            </w:r>
          </w:p>
        </w:tc>
      </w:tr>
    </w:tbl>
    <w:p/>
    <w:p/>
    <w:p>
      <w:pPr>
        <w:jc w:val="right"/>
        <w:rPr>
          <w:sz w:val="32"/>
          <w:szCs w:val="32"/>
        </w:rPr>
      </w:pPr>
    </w:p>
    <w:p>
      <w:pPr>
        <w:jc w:val="right"/>
        <w:rPr>
          <w:sz w:val="32"/>
          <w:szCs w:val="32"/>
        </w:rPr>
      </w:pPr>
    </w:p>
    <w:p>
      <w:pPr>
        <w:jc w:val="right"/>
        <w:rPr>
          <w:sz w:val="32"/>
          <w:szCs w:val="32"/>
        </w:rPr>
      </w:pPr>
    </w:p>
    <w:p>
      <w:pPr>
        <w:jc w:val="right"/>
        <w:rPr>
          <w:sz w:val="32"/>
          <w:szCs w:val="32"/>
        </w:rPr>
      </w:pPr>
      <w:r>
        <w:rPr>
          <w:rFonts w:hint="eastAsia"/>
          <w:sz w:val="32"/>
          <w:szCs w:val="32"/>
        </w:rPr>
        <w:t>禄劝彝族苗族自治县教育体育局</w:t>
      </w:r>
    </w:p>
    <w:p>
      <w:pPr>
        <w:jc w:val="right"/>
        <w:rPr>
          <w:sz w:val="32"/>
          <w:szCs w:val="32"/>
        </w:rPr>
      </w:pPr>
      <w:r>
        <w:rPr>
          <w:rFonts w:hint="eastAsia"/>
          <w:sz w:val="32"/>
          <w:szCs w:val="32"/>
        </w:rPr>
        <w:t>2020年7月29日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3047"/>
      <w:docPartObj>
        <w:docPartGallery w:val="AutoText"/>
      </w:docPartObj>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C1540"/>
    <w:rsid w:val="000245E6"/>
    <w:rsid w:val="000B6893"/>
    <w:rsid w:val="00171CED"/>
    <w:rsid w:val="004A5ED9"/>
    <w:rsid w:val="004F16F7"/>
    <w:rsid w:val="00504AA8"/>
    <w:rsid w:val="005C7B02"/>
    <w:rsid w:val="00612BAC"/>
    <w:rsid w:val="00720AA4"/>
    <w:rsid w:val="007B7CBA"/>
    <w:rsid w:val="008A7049"/>
    <w:rsid w:val="008B2D01"/>
    <w:rsid w:val="009072E1"/>
    <w:rsid w:val="00A06C58"/>
    <w:rsid w:val="00A209DE"/>
    <w:rsid w:val="00AE00D9"/>
    <w:rsid w:val="00B459F5"/>
    <w:rsid w:val="00BE4EBA"/>
    <w:rsid w:val="00C3280D"/>
    <w:rsid w:val="00CC1540"/>
    <w:rsid w:val="00D458DE"/>
    <w:rsid w:val="00D548AA"/>
    <w:rsid w:val="00E33D4D"/>
    <w:rsid w:val="00EE5B96"/>
    <w:rsid w:val="00F02E10"/>
    <w:rsid w:val="00F02FD1"/>
    <w:rsid w:val="00FA7362"/>
    <w:rsid w:val="00FF7E83"/>
    <w:rsid w:val="6B1E0C82"/>
    <w:rsid w:val="77AC7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6">
    <w:name w:val="正文1"/>
    <w:uiPriority w:val="0"/>
    <w:pPr>
      <w:jc w:val="both"/>
    </w:pPr>
    <w:rPr>
      <w:rFonts w:ascii="Calibri" w:hAnsi="Calibri" w:eastAsia="宋体" w:cs="宋体"/>
      <w:kern w:val="2"/>
      <w:sz w:val="21"/>
      <w:szCs w:val="21"/>
      <w:lang w:val="en-US" w:eastAsia="zh-CN" w:bidi="ar-SA"/>
    </w:rPr>
  </w:style>
  <w:style w:type="paragraph" w:styleId="7">
    <w:name w:val="List Paragraph"/>
    <w:basedOn w:val="1"/>
    <w:qFormat/>
    <w:uiPriority w:val="34"/>
    <w:pPr>
      <w:ind w:firstLine="420" w:firstLineChars="200"/>
    </w:pPr>
  </w:style>
  <w:style w:type="character" w:customStyle="1" w:styleId="8">
    <w:name w:val="页眉 Char"/>
    <w:basedOn w:val="5"/>
    <w:link w:val="3"/>
    <w:semiHidden/>
    <w:uiPriority w:val="99"/>
    <w:rPr>
      <w:rFonts w:ascii="Calibri" w:hAnsi="Calibri" w:eastAsia="宋体" w:cs="Times New Roman"/>
      <w:kern w:val="2"/>
      <w:sz w:val="18"/>
      <w:szCs w:val="18"/>
    </w:rPr>
  </w:style>
  <w:style w:type="character" w:customStyle="1" w:styleId="9">
    <w:name w:val="页脚 Char"/>
    <w:basedOn w:val="5"/>
    <w:link w:val="2"/>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LQSTYX</Company>
  <Pages>5</Pages>
  <Words>382</Words>
  <Characters>2178</Characters>
  <Lines>18</Lines>
  <Paragraphs>5</Paragraphs>
  <TotalTime>45</TotalTime>
  <ScaleCrop>false</ScaleCrop>
  <LinksUpToDate>false</LinksUpToDate>
  <CharactersWithSpaces>2555</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2020-07-17T08:34:00Z</dcterms:created>
  <dc:creator>Windows 用户</dc:creator>
  <cp:lastModifiedBy>Administrator</cp:lastModifiedBy>
  <cp:lastPrinted>2020-07-29T06:10:00Z</cp:lastPrinted>
  <dcterms:modified xsi:type="dcterms:W3CDTF">2025-04-22T02:49:10Z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58AD859670894C44A57B708D849FA4D2</vt:lpwstr>
  </property>
</Properties>
</file>