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7D41B">
      <w:pPr>
        <w:pStyle w:val="3"/>
        <w:bidi w:val="0"/>
        <w:rPr>
          <w:rFonts w:hint="default"/>
          <w:lang w:val="en-US" w:eastAsia="zh-CN"/>
        </w:rPr>
      </w:pPr>
      <w:r>
        <w:rPr>
          <w:rFonts w:hint="eastAsia"/>
          <w:lang w:val="en-US" w:eastAsia="zh-CN"/>
        </w:rPr>
        <w:t>2023年禄劝县一般公共预算、政府性基金预算和国有资本经营预算执行变动情况说明</w:t>
      </w:r>
    </w:p>
    <w:p w14:paraId="286BEF14">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i w:val="0"/>
          <w:iCs w:val="0"/>
          <w:caps w:val="0"/>
          <w:color w:val="333333"/>
          <w:spacing w:val="0"/>
          <w:sz w:val="32"/>
          <w:szCs w:val="32"/>
          <w:shd w:val="clear" w:color="auto" w:fill="FFFFFF"/>
        </w:rPr>
        <w:t>2023年县级一般公共预算收入</w:t>
      </w:r>
      <w:r>
        <w:rPr>
          <w:rFonts w:hint="eastAsia" w:ascii="黑体" w:hAnsi="黑体" w:eastAsia="黑体" w:cs="黑体"/>
          <w:i w:val="0"/>
          <w:iCs w:val="0"/>
          <w:caps w:val="0"/>
          <w:color w:val="333333"/>
          <w:spacing w:val="0"/>
          <w:sz w:val="32"/>
          <w:szCs w:val="32"/>
          <w:shd w:val="clear" w:color="auto" w:fill="FFFFFF"/>
          <w:lang w:eastAsia="zh-CN"/>
        </w:rPr>
        <w:t>支出</w:t>
      </w:r>
      <w:r>
        <w:rPr>
          <w:rFonts w:hint="eastAsia" w:ascii="黑体" w:hAnsi="黑体" w:eastAsia="黑体" w:cs="黑体"/>
          <w:i w:val="0"/>
          <w:iCs w:val="0"/>
          <w:caps w:val="0"/>
          <w:color w:val="333333"/>
          <w:spacing w:val="0"/>
          <w:sz w:val="32"/>
          <w:szCs w:val="32"/>
          <w:shd w:val="clear" w:color="auto" w:fill="FFFFFF"/>
        </w:rPr>
        <w:t>决算情况</w:t>
      </w:r>
    </w:p>
    <w:p w14:paraId="5C36A96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仿宋_GB2312" w:cs="Times New Roman"/>
          <w:sz w:val="32"/>
          <w:szCs w:val="32"/>
        </w:rPr>
        <w:t>（一）收入预算执行情况。</w:t>
      </w:r>
      <w:r>
        <w:rPr>
          <w:rFonts w:hint="default" w:ascii="Times New Roman" w:hAnsi="Times New Roman" w:eastAsia="仿宋_GB2312" w:cs="Times New Roman"/>
          <w:sz w:val="32"/>
          <w:szCs w:val="32"/>
          <w:lang w:eastAsia="zh-CN"/>
        </w:rPr>
        <w:t>2023年</w:t>
      </w:r>
      <w:r>
        <w:rPr>
          <w:rFonts w:hint="default" w:ascii="Times New Roman" w:hAnsi="Times New Roman" w:eastAsia="仿宋_GB2312" w:cs="Times New Roman"/>
          <w:b/>
          <w:bCs/>
          <w:sz w:val="32"/>
          <w:szCs w:val="32"/>
        </w:rPr>
        <w:t>一般公共预算收入</w:t>
      </w:r>
      <w:r>
        <w:rPr>
          <w:rFonts w:hint="default" w:ascii="Times New Roman" w:hAnsi="Times New Roman" w:eastAsia="仿宋_GB2312" w:cs="Times New Roman"/>
          <w:sz w:val="32"/>
          <w:szCs w:val="32"/>
          <w:highlight w:val="none"/>
          <w:lang w:val="en-US" w:eastAsia="zh-CN"/>
        </w:rPr>
        <w:t>67,439</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完成</w:t>
      </w:r>
      <w:r>
        <w:rPr>
          <w:rFonts w:hint="default" w:ascii="Times New Roman" w:hAnsi="Times New Roman" w:eastAsia="仿宋_GB2312" w:cs="Times New Roman"/>
          <w:sz w:val="32"/>
          <w:szCs w:val="32"/>
          <w:highlight w:val="none"/>
          <w:lang w:eastAsia="zh-CN"/>
        </w:rPr>
        <w:t>年初预算</w:t>
      </w:r>
      <w:r>
        <w:rPr>
          <w:rFonts w:hint="default" w:ascii="Times New Roman" w:hAnsi="Times New Roman" w:eastAsia="仿宋_GB2312" w:cs="Times New Roman"/>
          <w:sz w:val="32"/>
          <w:szCs w:val="32"/>
          <w:highlight w:val="none"/>
        </w:rPr>
        <w:t>的</w:t>
      </w:r>
      <w:r>
        <w:rPr>
          <w:rFonts w:hint="default" w:ascii="Times New Roman" w:hAnsi="Times New Roman" w:eastAsia="仿宋_GB2312" w:cs="Times New Roman"/>
          <w:sz w:val="32"/>
          <w:szCs w:val="32"/>
          <w:highlight w:val="none"/>
          <w:lang w:val="en-US" w:eastAsia="zh-CN"/>
        </w:rPr>
        <w:t>112.4</w:t>
      </w:r>
      <w:r>
        <w:rPr>
          <w:rFonts w:hint="default" w:ascii="Times New Roman" w:hAnsi="Times New Roman" w:eastAsia="仿宋_GB2312" w:cs="Times New Roman"/>
          <w:sz w:val="32"/>
          <w:szCs w:val="32"/>
          <w:highlight w:val="none"/>
        </w:rPr>
        <w:t>%万元，比上年同期</w:t>
      </w:r>
      <w:r>
        <w:rPr>
          <w:rFonts w:hint="default" w:ascii="Times New Roman" w:hAnsi="Times New Roman" w:eastAsia="仿宋_GB2312" w:cs="Times New Roman"/>
          <w:sz w:val="32"/>
          <w:szCs w:val="32"/>
          <w:highlight w:val="none"/>
          <w:lang w:val="en-US" w:eastAsia="zh-CN"/>
        </w:rPr>
        <w:t>-17,485万元</w:t>
      </w:r>
      <w:r>
        <w:rPr>
          <w:rFonts w:hint="default" w:ascii="Times New Roman" w:hAnsi="Times New Roman" w:eastAsia="仿宋_GB2312" w:cs="Times New Roman"/>
          <w:sz w:val="32"/>
          <w:szCs w:val="32"/>
          <w:highlight w:val="none"/>
        </w:rPr>
        <w:t>增长</w:t>
      </w:r>
      <w:r>
        <w:rPr>
          <w:rFonts w:hint="default" w:ascii="Times New Roman" w:hAnsi="Times New Roman" w:eastAsia="仿宋_GB2312" w:cs="Times New Roman"/>
          <w:sz w:val="32"/>
          <w:szCs w:val="32"/>
          <w:highlight w:val="none"/>
          <w:lang w:val="en-US" w:eastAsia="zh-CN"/>
        </w:rPr>
        <w:t>485.7%</w:t>
      </w:r>
      <w:r>
        <w:rPr>
          <w:rFonts w:hint="default" w:ascii="Times New Roman" w:hAnsi="Times New Roman" w:eastAsia="仿宋_GB2312" w:cs="Times New Roman"/>
          <w:sz w:val="32"/>
          <w:szCs w:val="32"/>
          <w:highlight w:val="none"/>
        </w:rPr>
        <w:t>，增收</w:t>
      </w:r>
      <w:r>
        <w:rPr>
          <w:rFonts w:hint="default" w:ascii="Times New Roman" w:hAnsi="Times New Roman" w:eastAsia="仿宋_GB2312" w:cs="Times New Roman"/>
          <w:sz w:val="32"/>
          <w:szCs w:val="32"/>
          <w:highlight w:val="none"/>
          <w:lang w:val="en-US" w:eastAsia="zh-CN"/>
        </w:rPr>
        <w:t>84,924</w:t>
      </w:r>
      <w:r>
        <w:rPr>
          <w:rFonts w:hint="default" w:ascii="Times New Roman" w:hAnsi="Times New Roman" w:eastAsia="仿宋_GB2312" w:cs="Times New Roman"/>
          <w:sz w:val="32"/>
          <w:szCs w:val="32"/>
          <w:highlight w:val="none"/>
        </w:rPr>
        <w:t>万元。其中：税收收入</w:t>
      </w:r>
      <w:r>
        <w:rPr>
          <w:rFonts w:hint="default" w:ascii="Times New Roman" w:hAnsi="Times New Roman" w:eastAsia="仿宋_GB2312" w:cs="Times New Roman"/>
          <w:sz w:val="32"/>
          <w:szCs w:val="32"/>
          <w:highlight w:val="none"/>
          <w:lang w:val="en-US" w:eastAsia="zh-CN"/>
        </w:rPr>
        <w:t>41,393</w:t>
      </w:r>
      <w:r>
        <w:rPr>
          <w:rFonts w:hint="default" w:ascii="Times New Roman" w:hAnsi="Times New Roman" w:eastAsia="仿宋_GB2312" w:cs="Times New Roman"/>
          <w:sz w:val="32"/>
          <w:szCs w:val="32"/>
          <w:highlight w:val="none"/>
        </w:rPr>
        <w:t>万元，非税收入</w:t>
      </w:r>
      <w:r>
        <w:rPr>
          <w:rFonts w:hint="default" w:ascii="Times New Roman" w:hAnsi="Times New Roman" w:eastAsia="仿宋_GB2312" w:cs="Times New Roman"/>
          <w:sz w:val="32"/>
          <w:szCs w:val="32"/>
          <w:highlight w:val="none"/>
          <w:lang w:val="en-US" w:eastAsia="zh-CN"/>
        </w:rPr>
        <w:t>26,046</w:t>
      </w:r>
      <w:r>
        <w:rPr>
          <w:rFonts w:hint="default" w:ascii="Times New Roman" w:hAnsi="Times New Roman" w:eastAsia="仿宋_GB2312" w:cs="Times New Roman"/>
          <w:sz w:val="32"/>
          <w:szCs w:val="32"/>
          <w:highlight w:val="none"/>
        </w:rPr>
        <w:t>万元，非税收入占比</w:t>
      </w:r>
      <w:r>
        <w:rPr>
          <w:rFonts w:hint="default" w:ascii="Times New Roman" w:hAnsi="Times New Roman" w:eastAsia="仿宋_GB2312" w:cs="Times New Roman"/>
          <w:sz w:val="32"/>
          <w:szCs w:val="32"/>
          <w:highlight w:val="none"/>
          <w:lang w:val="en-US" w:eastAsia="zh-CN"/>
        </w:rPr>
        <w:t>38.62</w:t>
      </w:r>
      <w:r>
        <w:rPr>
          <w:rFonts w:hint="default" w:ascii="Times New Roman" w:hAnsi="Times New Roman" w:eastAsia="仿宋_GB2312" w:cs="Times New Roman"/>
          <w:sz w:val="32"/>
          <w:szCs w:val="32"/>
          <w:highlight w:val="none"/>
        </w:rPr>
        <w:t>%。</w:t>
      </w:r>
    </w:p>
    <w:p w14:paraId="3F62E829">
      <w:pPr>
        <w:keepNext w:val="0"/>
        <w:keepLines w:val="0"/>
        <w:pageBreakBefore w:val="0"/>
        <w:kinsoku/>
        <w:wordWrap/>
        <w:overflowPunct/>
        <w:topLinePunct w:val="0"/>
        <w:autoSpaceDE/>
        <w:autoSpaceDN/>
        <w:bidi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（二）支出预算执行情况。</w:t>
      </w:r>
      <w:r>
        <w:rPr>
          <w:rFonts w:hint="default" w:ascii="Times New Roman" w:hAnsi="Times New Roman" w:eastAsia="仿宋_GB2312" w:cs="Times New Roman"/>
          <w:b/>
          <w:sz w:val="32"/>
          <w:szCs w:val="32"/>
        </w:rPr>
        <w:t>一般公共预算支出</w:t>
      </w:r>
      <w:r>
        <w:rPr>
          <w:rFonts w:hint="eastAsia" w:ascii="Times New Roman" w:hAnsi="Times New Roman" w:eastAsia="仿宋_GB2312" w:cs="Times New Roman"/>
          <w:sz w:val="32"/>
          <w:szCs w:val="32"/>
          <w:lang w:val="en-US" w:eastAsia="zh-CN"/>
        </w:rPr>
        <w:t>347,768</w:t>
      </w:r>
      <w:r>
        <w:rPr>
          <w:rFonts w:hint="default" w:ascii="Times New Roman" w:hAnsi="Times New Roman" w:eastAsia="仿宋_GB2312" w:cs="Times New Roman"/>
          <w:sz w:val="32"/>
          <w:szCs w:val="32"/>
        </w:rPr>
        <w:t>万元，比上年同期</w:t>
      </w:r>
      <w:r>
        <w:rPr>
          <w:rFonts w:hint="eastAsia" w:ascii="Times New Roman" w:hAnsi="Times New Roman" w:eastAsia="仿宋_GB2312" w:cs="Times New Roman"/>
          <w:sz w:val="32"/>
          <w:szCs w:val="32"/>
          <w:lang w:val="en-US" w:eastAsia="zh-CN"/>
        </w:rPr>
        <w:t>352,022</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下降</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减</w:t>
      </w:r>
      <w:r>
        <w:rPr>
          <w:rFonts w:hint="default" w:ascii="Times New Roman" w:hAnsi="Times New Roman" w:eastAsia="仿宋_GB2312" w:cs="Times New Roman"/>
          <w:sz w:val="32"/>
          <w:szCs w:val="32"/>
        </w:rPr>
        <w:t>支</w:t>
      </w:r>
      <w:r>
        <w:rPr>
          <w:rFonts w:hint="eastAsia" w:ascii="Times New Roman" w:hAnsi="Times New Roman" w:eastAsia="仿宋_GB2312" w:cs="Times New Roman"/>
          <w:sz w:val="32"/>
          <w:szCs w:val="32"/>
          <w:lang w:val="en-US" w:eastAsia="zh-CN"/>
        </w:rPr>
        <w:t>4,254</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zh-CN"/>
        </w:rPr>
        <w:t>其中</w:t>
      </w:r>
      <w:r>
        <w:rPr>
          <w:rFonts w:hint="default" w:ascii="Times New Roman" w:hAnsi="Times New Roman" w:eastAsia="仿宋_GB2312" w:cs="Times New Roman"/>
          <w:sz w:val="32"/>
          <w:szCs w:val="32"/>
          <w:lang w:val="zh-CN"/>
        </w:rPr>
        <w:t>“三保”支出共计220,571万元（保工资支出164,401万元，保运转支出4,328万元，保基本民生支出52,409万元。）</w:t>
      </w:r>
      <w:r>
        <w:rPr>
          <w:rFonts w:hint="eastAsia" w:ascii="Times New Roman" w:hAnsi="Times New Roman" w:eastAsia="仿宋_GB2312" w:cs="Times New Roman"/>
          <w:sz w:val="32"/>
          <w:szCs w:val="32"/>
          <w:lang w:val="zh-CN"/>
        </w:rPr>
        <w:t>，</w:t>
      </w:r>
      <w:r>
        <w:rPr>
          <w:rFonts w:hint="default" w:ascii="Times New Roman" w:hAnsi="Times New Roman" w:eastAsia="仿宋_GB2312" w:cs="Times New Roman"/>
          <w:sz w:val="32"/>
          <w:szCs w:val="32"/>
          <w:highlight w:val="none"/>
        </w:rPr>
        <w:t>民生支出占地方一般公共预算支出的</w:t>
      </w:r>
      <w:r>
        <w:rPr>
          <w:rFonts w:hint="default" w:ascii="Times New Roman" w:hAnsi="Times New Roman" w:eastAsia="仿宋_GB2312" w:cs="Times New Roman"/>
          <w:sz w:val="32"/>
          <w:szCs w:val="32"/>
          <w:highlight w:val="none"/>
          <w:lang w:val="en-US" w:eastAsia="zh-CN"/>
        </w:rPr>
        <w:t>85</w:t>
      </w:r>
      <w:r>
        <w:rPr>
          <w:rFonts w:hint="default" w:ascii="Times New Roman" w:hAnsi="Times New Roman" w:eastAsia="仿宋_GB2312" w:cs="Times New Roman"/>
          <w:sz w:val="32"/>
          <w:szCs w:val="32"/>
          <w:highlight w:val="none"/>
        </w:rPr>
        <w:t>%。</w:t>
      </w:r>
    </w:p>
    <w:p w14:paraId="5E263AFA">
      <w:pPr>
        <w:spacing w:line="560" w:lineRule="exact"/>
        <w:ind w:firstLine="640" w:firstLineChars="200"/>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（三）税收收入完成情况及增（减）收原因</w:t>
      </w:r>
    </w:p>
    <w:p w14:paraId="41124683">
      <w:pPr>
        <w:spacing w:line="560" w:lineRule="exact"/>
        <w:ind w:firstLine="640" w:firstLineChars="200"/>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1.增值税完成18,925万元，较上年增收3,990万元，增长26.72%，主要增收原因是乌东德水电站实现税收贡献拉动增值税大幅增收。</w:t>
      </w:r>
    </w:p>
    <w:p w14:paraId="7FD5CCEA">
      <w:pPr>
        <w:spacing w:line="560" w:lineRule="exact"/>
        <w:ind w:firstLine="640" w:firstLineChars="200"/>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2.企业所得税完成1,152万元，较上年减收222万元，下降16.16%，主要减收原因农村信用社去年同期缴纳1,800万元，今年同期仅有1200万元，减收600万元。</w:t>
      </w:r>
    </w:p>
    <w:p w14:paraId="7AB94D53">
      <w:pPr>
        <w:spacing w:line="560" w:lineRule="exact"/>
        <w:ind w:firstLine="640" w:firstLineChars="200"/>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3.个人所得税完成741万元，较上年增收243万元，增长48.80%，增收主要原因一是去年同期应汇算清缴和退税金额在500万元左右，今年同期汇算清缴及手续费退税合计300万元。二是股息、红利所得，禄劝农村信用联社改制为农村商业银行股金量化分配产生的个人所得税，金额902万元。累计拉动县级增收200万元。</w:t>
      </w:r>
    </w:p>
    <w:p w14:paraId="3B6C1338">
      <w:pPr>
        <w:spacing w:line="560" w:lineRule="exact"/>
        <w:ind w:firstLine="640" w:firstLineChars="200"/>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4.资源税完成507万元，较上年增收292万元，增长135.81%，主要增收原因为嘉磊矿业和崇德水泥厂原矿售卖情况较去年同期有所好转，拉动税收总体增长。</w:t>
      </w:r>
    </w:p>
    <w:p w14:paraId="108F136D">
      <w:pPr>
        <w:spacing w:line="560" w:lineRule="exact"/>
        <w:ind w:firstLine="640" w:firstLineChars="200"/>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5.城市维护建设税完成1,702万元，较上年增收441万元，增长34.97%。增收原因为增值税增收而增收。</w:t>
      </w:r>
    </w:p>
    <w:p w14:paraId="2D6658E5">
      <w:pPr>
        <w:spacing w:line="560" w:lineRule="exact"/>
        <w:ind w:firstLine="640" w:firstLineChars="200"/>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6.房产税完成601万元，较上年减收461万元，下降43.41%，主要减收原因为去年同期裕农公司有欠税补缴，基数较大造成的减收。</w:t>
      </w:r>
    </w:p>
    <w:p w14:paraId="77ABBCCA">
      <w:pPr>
        <w:spacing w:line="560" w:lineRule="exact"/>
        <w:ind w:firstLine="640" w:firstLineChars="200"/>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7.印花税完成375万元，较上年增收119万元，增长46.48%，主要增收原因为4月农村信用社借款合同缴纳印花税63万元，同比增收较明显。</w:t>
      </w:r>
    </w:p>
    <w:p w14:paraId="308539D7">
      <w:pPr>
        <w:spacing w:line="560" w:lineRule="exact"/>
        <w:ind w:firstLine="640" w:firstLineChars="200"/>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8.城镇土地使用税完成767万元，较上年减收428万元，下降35.82%，主要减收原因为去年同期裕农公司有欠税补缴，基数较大造成的减收。</w:t>
      </w:r>
    </w:p>
    <w:p w14:paraId="5F0EDE6D">
      <w:pPr>
        <w:spacing w:line="560" w:lineRule="exact"/>
        <w:ind w:firstLine="640" w:firstLineChars="200"/>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9.土地增值税完成866万元，较上年减收3,370万元，下降79.56%，主要减收原因为同元地产去年同期风家古镇项目清算缴纳1200万元土地增值税，三溪温泉小镇5期、6期项目清算，缴纳785万元土地增值税，今年同期两个地产公司均无清算项目，导致土地增值税大幅下滑。</w:t>
      </w:r>
    </w:p>
    <w:p w14:paraId="5B2E949A">
      <w:pPr>
        <w:spacing w:line="560" w:lineRule="exact"/>
        <w:ind w:firstLine="640" w:firstLineChars="200"/>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10.车船税完成995万元，较上年减收164万元，下降14.15%，主要减收原因为汽车销售量下降和新能源车市场份额越来越大造成的减收。</w:t>
      </w:r>
    </w:p>
    <w:p w14:paraId="224D9C54">
      <w:pPr>
        <w:bidi w:val="0"/>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11.耕地占用税完成2,616万元，较上年增收2,165万元，增长480.04%，主要增收原因为5月拿到了自然资源局关于协鑫光伏的用地复核通知书，该企业于6月缴纳了632万元税款，去年同期无该笔税收。</w:t>
      </w:r>
    </w:p>
    <w:p w14:paraId="2ED8924F">
      <w:pPr>
        <w:widowControl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12.契税完成2,667万元，较上年增收561万元，增长26.64%，主要增收原因为一是天之昱有限责任公司土地买卖缴纳近100万元契税，二是锦绣金域小区40余套住宅本月集中办理契税，总金额在90万元左右，二手房交易市场较去年同期业比较活跃，交易量增加拉动契税上涨。</w:t>
      </w:r>
    </w:p>
    <w:p w14:paraId="32B56E0C">
      <w:pPr>
        <w:widowControl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13.烟叶税完成9,311万元，较上年增收766万元，增长8.96%，主要增收原因为因产量增加，导致收入增长。</w:t>
      </w:r>
    </w:p>
    <w:p w14:paraId="1A71A92C">
      <w:pPr>
        <w:widowControl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14.环境保护税完成168万元，较上年增收7万元，增长4.35%，属正常范围内变动。</w:t>
      </w:r>
    </w:p>
    <w:p w14:paraId="0CCBFACA">
      <w:pPr>
        <w:widowControl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（四）非税收入完成情况及增（减）收原因</w:t>
      </w:r>
    </w:p>
    <w:p w14:paraId="4868FF18">
      <w:pPr>
        <w:widowControl w:val="0"/>
        <w:spacing w:line="56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2023年，非税收入完成</w:t>
      </w:r>
      <w:r>
        <w:rPr>
          <w:rFonts w:hint="eastAsia" w:ascii="Times New Roman" w:hAnsi="Times New Roman" w:eastAsia="仿宋_GB2312" w:cs="Times New Roman"/>
          <w:kern w:val="2"/>
          <w:sz w:val="32"/>
          <w:szCs w:val="32"/>
          <w:lang w:val="en-US" w:eastAsia="zh-CN" w:bidi="ar-SA"/>
        </w:rPr>
        <w:t>26,046</w:t>
      </w:r>
      <w:r>
        <w:rPr>
          <w:rFonts w:hint="default" w:ascii="Times New Roman" w:hAnsi="Times New Roman" w:eastAsia="仿宋_GB2312" w:cs="Times New Roman"/>
          <w:kern w:val="2"/>
          <w:sz w:val="32"/>
          <w:szCs w:val="32"/>
          <w:lang w:val="en-US" w:eastAsia="zh-CN" w:bidi="ar-SA"/>
        </w:rPr>
        <w:t>万元，增收</w:t>
      </w:r>
      <w:r>
        <w:rPr>
          <w:rFonts w:hint="eastAsia" w:ascii="Times New Roman" w:hAnsi="Times New Roman" w:eastAsia="仿宋_GB2312" w:cs="Times New Roman"/>
          <w:kern w:val="2"/>
          <w:sz w:val="32"/>
          <w:szCs w:val="32"/>
          <w:lang w:val="en-US" w:eastAsia="zh-CN" w:bidi="ar-SA"/>
        </w:rPr>
        <w:t>7,179</w:t>
      </w:r>
      <w:r>
        <w:rPr>
          <w:rFonts w:hint="default" w:ascii="Times New Roman" w:hAnsi="Times New Roman" w:eastAsia="仿宋_GB2312" w:cs="Times New Roman"/>
          <w:kern w:val="2"/>
          <w:sz w:val="32"/>
          <w:szCs w:val="32"/>
          <w:lang w:val="en-US" w:eastAsia="zh-CN" w:bidi="ar-SA"/>
        </w:rPr>
        <w:t>万元，增长</w:t>
      </w:r>
      <w:r>
        <w:rPr>
          <w:rFonts w:hint="eastAsia" w:ascii="Times New Roman" w:hAnsi="Times New Roman" w:eastAsia="仿宋_GB2312" w:cs="Times New Roman"/>
          <w:kern w:val="2"/>
          <w:sz w:val="32"/>
          <w:szCs w:val="32"/>
          <w:lang w:val="en-US" w:eastAsia="zh-CN" w:bidi="ar-SA"/>
        </w:rPr>
        <w:t>38.05</w:t>
      </w:r>
      <w:r>
        <w:rPr>
          <w:rFonts w:hint="default" w:ascii="Times New Roman" w:hAnsi="Times New Roman" w:eastAsia="仿宋_GB2312" w:cs="Times New Roman"/>
          <w:kern w:val="2"/>
          <w:sz w:val="32"/>
          <w:szCs w:val="32"/>
          <w:lang w:val="en-US" w:eastAsia="zh-CN" w:bidi="ar-SA"/>
        </w:rPr>
        <w:t>%。非税收入占一般公共预算收入的</w:t>
      </w:r>
      <w:r>
        <w:rPr>
          <w:rFonts w:hint="eastAsia" w:ascii="Times New Roman" w:hAnsi="Times New Roman" w:eastAsia="仿宋_GB2312" w:cs="Times New Roman"/>
          <w:kern w:val="2"/>
          <w:sz w:val="32"/>
          <w:szCs w:val="32"/>
          <w:lang w:val="en-US" w:eastAsia="zh-CN" w:bidi="ar-SA"/>
        </w:rPr>
        <w:t>38.6</w:t>
      </w:r>
      <w:r>
        <w:rPr>
          <w:rFonts w:hint="default" w:ascii="Times New Roman" w:hAnsi="Times New Roman" w:eastAsia="仿宋_GB2312" w:cs="Times New Roman"/>
          <w:kern w:val="2"/>
          <w:sz w:val="32"/>
          <w:szCs w:val="32"/>
          <w:lang w:val="en-US" w:eastAsia="zh-CN" w:bidi="ar-SA"/>
        </w:rPr>
        <w:t>%。非税收入各明细项目中：</w:t>
      </w:r>
    </w:p>
    <w:p w14:paraId="52EE1883">
      <w:pPr>
        <w:widowControl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专项收入完成3,328万元，较上年增收1,265万元，增长61.32%，主要增收原因为林业部门根据上级批文，一次性收取光伏电站占用林地近5年的植被恢复费，因此森林植被恢复费较上年增长较大。（由于企业和林业部门因投影和斜面的面积计算有争议，现按上级批文征收）</w:t>
      </w:r>
    </w:p>
    <w:p w14:paraId="645CE94B">
      <w:pPr>
        <w:widowControl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2.行政事业性收费收入完成5,162万元，较上年增收1,824万元，增长54.64%，主要增收原因为清理往年欠缴入库。</w:t>
      </w:r>
    </w:p>
    <w:p w14:paraId="5DDBEBCA">
      <w:pPr>
        <w:widowControl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罚没收入完成4,822万元，较上年增收1,555万元，增长47.60%。主要增收原因为我县交运、自然资源、城市管理、卫生等部门严格执法，并催收历年欠缴，同时全省非税票据电子化改革全面实施，罚没缴款更及时高效。</w:t>
      </w:r>
    </w:p>
    <w:p w14:paraId="243CBEBB">
      <w:pPr>
        <w:widowControl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国有资源(资产)有偿使用收入完成6,923万元，较上年减收2,316万元，下降25.07%。主要减收原因为由于企业整合，整合后核算后无收益上缴。我县仅有国投公司，由于疫情影响尚未恢复，加之缴纳各种土地占用相关税费导致经营效益下降。2022年水资源费收入有催收历年欠费，而2023年上半年干旱少雨发电量减少。乌东德电站收入仅有上年的15%左右，普渡河上的8座电站，由于滇中干旱，发电量仅有上年的25%左右，导致依据发电量征收的水资源费减少。</w:t>
      </w:r>
    </w:p>
    <w:p w14:paraId="2E64D7EF">
      <w:pPr>
        <w:widowControl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5.其他收入完成5,742万元，较上年增收4,782万元，增长498.13%，主要增收原因为将历年结余资金缴库。</w:t>
      </w:r>
    </w:p>
    <w:p w14:paraId="0CEC1932">
      <w:pPr>
        <w:widowControl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（五）一般公共预算支出变动较大科目的增（减）支原因</w:t>
      </w:r>
    </w:p>
    <w:p w14:paraId="0C0FB771">
      <w:pPr>
        <w:widowControl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一般公共服务支出完成25,522万元，较上年减支2,386万元，下降8.55%，主要减支原因为上年拨付2021年一县一业示范县创建补助资金500万元，政府投资审计费100万元，皎平渡镇皎平村委会大树村项目首付款117万元，60岁以上农村（社区）无固定收入老党员补助183万元，第三批统筹整合使用财政涉农项目专项资金支付农旅生态园建设项目工程计量款480万元。本年无以上支出。</w:t>
      </w:r>
    </w:p>
    <w:p w14:paraId="20C13E33">
      <w:pPr>
        <w:widowControl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2.国防支出完成0元，较上年减支22万元，下降100%，主要减支原因为上年拨付国防动员和后备力量建设经费22万元，本年无此项支出。</w:t>
      </w:r>
    </w:p>
    <w:p w14:paraId="156BAE96">
      <w:pPr>
        <w:widowControl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3.文化旅游体育与传媒支出完成3,554万元，较上年减支909万元，下降20.37%，主要减支原因为因上年拨付红色旅游示范区补助资金240万元，综合文化站免费开放补助经费470万元。本年无以上支出。</w:t>
      </w:r>
    </w:p>
    <w:p w14:paraId="1F4D29A4">
      <w:pPr>
        <w:widowControl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社会保障和就业支出完成64,665万元，较上年增支5,793万元，增长9.84%，主要增支原因为本年拨付九龙红军烈士洞保护提升项目工程预付款626万元，就业培训费527万元，龙海村委会互助养老服务站运营经费117万元，撒营盘镇、云龙乡综合养老服务中心改造项目资金539万元。上年无以上支出。</w:t>
      </w:r>
    </w:p>
    <w:p w14:paraId="4B42D962">
      <w:pPr>
        <w:widowControl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5.节能环保支出完成3,631万元，较上年减支796万元，下降17.98%，主要减支原因为上年拨付横断山区水源涵养与生物多样性保护项目款303万元，本年无此项支出。</w:t>
      </w:r>
    </w:p>
    <w:p w14:paraId="2E01DAC9">
      <w:pPr>
        <w:widowControl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6.农林水支出完成82,246万元，较上年减支8,903万元，下降9.77%，主要减支原因为上年拨付高标准农田建设3870万元，昆明--轿子雪山（新山垭口至乌蒙乡）三级公路工程711万元，拨2022年上半年度贷款贴息600万元，高粱种植项目专项资金1,000万元，肉牛养殖项目专项资金2,000万元，2022年农村厕所革命市级补助资金1,152万元，薄弱村扶持壮大村集体经济项目补助资金4,500万元，本年无此项支出。</w:t>
      </w:r>
    </w:p>
    <w:p w14:paraId="5F266044">
      <w:pPr>
        <w:widowControl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7.资源勘探信息等支出完成123万元，较上年减支197万元，下降61.56%，主要减支原因为上年拨付年产500万只全节能型太阳能真空管生产线技术发行项目320万元，本年无此项支出。</w:t>
      </w:r>
    </w:p>
    <w:p w14:paraId="100F25A5">
      <w:pPr>
        <w:widowControl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8.商业服务业等支出完成705万元，较上年增支369万元，增长109.82%，主要增长原因为本年拨付翠华农产品集采加工项目资金支付303万元，上年无此项支出。</w:t>
      </w:r>
    </w:p>
    <w:p w14:paraId="46372479">
      <w:pPr>
        <w:widowControl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9.国土海洋气象等支出完成2,972万元，较上年增支1,067万元，增长55.81%，主要增长原因为本年拨付屏山街道征地拆迁遗留问题缺口资金万元1,000万元，支付翠华、马鹿、团街、兴隆等4个村增减挂项目方案编制技术服务费198万元，上年无以上支出。</w:t>
      </w:r>
    </w:p>
    <w:p w14:paraId="30D3742E">
      <w:pPr>
        <w:widowControl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10.灾害防治及应急管理支出完成2,427万元，较上年增支504万元，增长26.12%，主要增支原因为本年拨付中央、省级冬春救灾资金369万元，上年无以上支出。</w:t>
      </w:r>
    </w:p>
    <w:p w14:paraId="69849509">
      <w:pPr>
        <w:widowControl w:val="0"/>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11.其他支出完成739万元，较上年增支739万元，增长100%，主要增支原因为本年垫付项目维稳资金300万元，非税收入完成任务经费安排项目75万元，耕地流出排查整改工作经费345万元，上年无以上支出。</w:t>
      </w:r>
    </w:p>
    <w:p w14:paraId="41092EB5">
      <w:pPr>
        <w:widowControl w:val="0"/>
        <w:spacing w:line="560" w:lineRule="exact"/>
        <w:ind w:firstLine="640" w:firstLineChars="200"/>
        <w:jc w:val="both"/>
        <w:rPr>
          <w:rFonts w:hint="eastAsia" w:ascii="黑体" w:hAnsi="黑体" w:eastAsia="黑体" w:cs="黑体"/>
          <w:i w:val="0"/>
          <w:iCs w:val="0"/>
          <w:caps w:val="0"/>
          <w:color w:val="333333"/>
          <w:spacing w:val="0"/>
          <w:kern w:val="2"/>
          <w:sz w:val="32"/>
          <w:szCs w:val="32"/>
          <w:shd w:val="clear" w:color="auto" w:fill="FFFFFF"/>
          <w:lang w:val="en-US" w:eastAsia="zh-CN" w:bidi="ar-SA"/>
        </w:rPr>
      </w:pPr>
      <w:r>
        <w:rPr>
          <w:rFonts w:hint="eastAsia" w:ascii="黑体" w:hAnsi="黑体" w:eastAsia="黑体" w:cs="黑体"/>
          <w:kern w:val="2"/>
          <w:sz w:val="32"/>
          <w:szCs w:val="32"/>
          <w:lang w:val="en-US" w:eastAsia="zh-CN" w:bidi="ar-SA"/>
        </w:rPr>
        <w:t>二、</w:t>
      </w:r>
      <w:r>
        <w:rPr>
          <w:rFonts w:hint="eastAsia" w:ascii="黑体" w:hAnsi="黑体" w:eastAsia="黑体" w:cs="黑体"/>
          <w:i w:val="0"/>
          <w:iCs w:val="0"/>
          <w:caps w:val="0"/>
          <w:color w:val="333333"/>
          <w:spacing w:val="0"/>
          <w:kern w:val="2"/>
          <w:sz w:val="32"/>
          <w:szCs w:val="32"/>
          <w:shd w:val="clear" w:color="auto" w:fill="FFFFFF"/>
          <w:lang w:val="en-US" w:eastAsia="zh-CN" w:bidi="ar-SA"/>
        </w:rPr>
        <w:t>2023年县级政府性基金收入支出决算情况</w:t>
      </w:r>
    </w:p>
    <w:p w14:paraId="7AF653B5">
      <w:pPr>
        <w:widowControl w:val="0"/>
        <w:spacing w:line="560" w:lineRule="exact"/>
        <w:ind w:firstLine="640" w:firstLineChars="200"/>
        <w:jc w:val="both"/>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政府性基金预算收入</w:t>
      </w:r>
      <w:r>
        <w:rPr>
          <w:rFonts w:hint="eastAsia" w:ascii="Times New Roman" w:hAnsi="Times New Roman" w:eastAsia="仿宋_GB2312" w:cs="Times New Roman"/>
          <w:b w:val="0"/>
          <w:bCs w:val="0"/>
          <w:kern w:val="2"/>
          <w:sz w:val="32"/>
          <w:szCs w:val="32"/>
          <w:lang w:val="en-US" w:eastAsia="zh-CN" w:bidi="ar-SA"/>
        </w:rPr>
        <w:t>23,171</w:t>
      </w:r>
      <w:r>
        <w:rPr>
          <w:rFonts w:hint="default" w:ascii="Times New Roman" w:hAnsi="Times New Roman" w:eastAsia="仿宋_GB2312" w:cs="Times New Roman"/>
          <w:b w:val="0"/>
          <w:bCs w:val="0"/>
          <w:kern w:val="2"/>
          <w:sz w:val="32"/>
          <w:szCs w:val="32"/>
          <w:lang w:val="en-US" w:eastAsia="zh-CN" w:bidi="ar-SA"/>
        </w:rPr>
        <w:t>万元，完成预算</w:t>
      </w:r>
      <w:r>
        <w:rPr>
          <w:rFonts w:hint="eastAsia" w:ascii="Times New Roman" w:hAnsi="Times New Roman" w:eastAsia="仿宋_GB2312" w:cs="Times New Roman"/>
          <w:b w:val="0"/>
          <w:bCs w:val="0"/>
          <w:kern w:val="2"/>
          <w:sz w:val="32"/>
          <w:szCs w:val="32"/>
          <w:lang w:val="en-US" w:eastAsia="zh-CN" w:bidi="ar-SA"/>
        </w:rPr>
        <w:t>49,148</w:t>
      </w:r>
      <w:r>
        <w:rPr>
          <w:rFonts w:hint="default" w:ascii="Times New Roman" w:hAnsi="Times New Roman" w:eastAsia="仿宋_GB2312" w:cs="Times New Roman"/>
          <w:b w:val="0"/>
          <w:bCs w:val="0"/>
          <w:kern w:val="2"/>
          <w:sz w:val="32"/>
          <w:szCs w:val="32"/>
          <w:lang w:val="en-US" w:eastAsia="zh-CN" w:bidi="ar-SA"/>
        </w:rPr>
        <w:t>万元的</w:t>
      </w:r>
      <w:r>
        <w:rPr>
          <w:rFonts w:hint="eastAsia" w:ascii="Times New Roman" w:hAnsi="Times New Roman" w:eastAsia="仿宋_GB2312" w:cs="Times New Roman"/>
          <w:b w:val="0"/>
          <w:bCs w:val="0"/>
          <w:kern w:val="2"/>
          <w:sz w:val="32"/>
          <w:szCs w:val="32"/>
          <w:lang w:val="en-US" w:eastAsia="zh-CN" w:bidi="ar-SA"/>
        </w:rPr>
        <w:t>47.14</w:t>
      </w:r>
      <w:r>
        <w:rPr>
          <w:rFonts w:hint="default" w:ascii="Times New Roman" w:hAnsi="Times New Roman" w:eastAsia="仿宋_GB2312" w:cs="Times New Roman"/>
          <w:b w:val="0"/>
          <w:bCs w:val="0"/>
          <w:kern w:val="2"/>
          <w:sz w:val="32"/>
          <w:szCs w:val="32"/>
          <w:lang w:val="en-US" w:eastAsia="zh-CN" w:bidi="ar-SA"/>
        </w:rPr>
        <w:t>%，</w:t>
      </w:r>
      <w:r>
        <w:rPr>
          <w:rFonts w:hint="eastAsia" w:ascii="Times New Roman" w:hAnsi="Times New Roman" w:eastAsia="仿宋_GB2312" w:cs="Times New Roman"/>
          <w:b w:val="0"/>
          <w:bCs w:val="0"/>
          <w:kern w:val="2"/>
          <w:sz w:val="32"/>
          <w:szCs w:val="32"/>
          <w:lang w:val="en-US" w:eastAsia="zh-CN" w:bidi="ar-SA"/>
        </w:rPr>
        <w:t>较</w:t>
      </w:r>
      <w:r>
        <w:rPr>
          <w:rFonts w:hint="default" w:ascii="Times New Roman" w:hAnsi="Times New Roman" w:eastAsia="仿宋_GB2312" w:cs="Times New Roman"/>
          <w:b w:val="0"/>
          <w:bCs w:val="0"/>
          <w:kern w:val="2"/>
          <w:sz w:val="32"/>
          <w:szCs w:val="32"/>
          <w:lang w:val="en-US" w:eastAsia="zh-CN" w:bidi="ar-SA"/>
        </w:rPr>
        <w:t>上年同期</w:t>
      </w:r>
      <w:r>
        <w:rPr>
          <w:rFonts w:hint="eastAsia" w:ascii="Times New Roman" w:hAnsi="Times New Roman" w:eastAsia="仿宋_GB2312" w:cs="Times New Roman"/>
          <w:b w:val="0"/>
          <w:bCs w:val="0"/>
          <w:kern w:val="2"/>
          <w:sz w:val="32"/>
          <w:szCs w:val="32"/>
          <w:lang w:val="en-US" w:eastAsia="zh-CN" w:bidi="ar-SA"/>
        </w:rPr>
        <w:t>6,315</w:t>
      </w:r>
      <w:r>
        <w:rPr>
          <w:rFonts w:hint="default" w:ascii="Times New Roman" w:hAnsi="Times New Roman" w:eastAsia="仿宋_GB2312" w:cs="Times New Roman"/>
          <w:b w:val="0"/>
          <w:bCs w:val="0"/>
          <w:kern w:val="2"/>
          <w:sz w:val="32"/>
          <w:szCs w:val="32"/>
          <w:lang w:val="en-US" w:eastAsia="zh-CN" w:bidi="ar-SA"/>
        </w:rPr>
        <w:t>万元</w:t>
      </w:r>
      <w:r>
        <w:rPr>
          <w:rFonts w:hint="eastAsia" w:ascii="Times New Roman" w:hAnsi="Times New Roman" w:eastAsia="仿宋_GB2312" w:cs="Times New Roman"/>
          <w:b w:val="0"/>
          <w:bCs w:val="0"/>
          <w:kern w:val="2"/>
          <w:sz w:val="32"/>
          <w:szCs w:val="32"/>
          <w:lang w:val="en-US" w:eastAsia="zh-CN" w:bidi="ar-SA"/>
        </w:rPr>
        <w:t>增长266.90</w:t>
      </w:r>
      <w:r>
        <w:rPr>
          <w:rFonts w:hint="default" w:ascii="Times New Roman" w:hAnsi="Times New Roman" w:eastAsia="仿宋_GB2312" w:cs="Times New Roman"/>
          <w:b w:val="0"/>
          <w:bCs w:val="0"/>
          <w:kern w:val="2"/>
          <w:sz w:val="32"/>
          <w:szCs w:val="32"/>
          <w:lang w:val="en-US" w:eastAsia="zh-CN" w:bidi="ar-SA"/>
        </w:rPr>
        <w:t>%，</w:t>
      </w:r>
      <w:r>
        <w:rPr>
          <w:rFonts w:hint="eastAsia" w:ascii="Times New Roman" w:hAnsi="Times New Roman" w:eastAsia="仿宋_GB2312" w:cs="Times New Roman"/>
          <w:b w:val="0"/>
          <w:bCs w:val="0"/>
          <w:kern w:val="2"/>
          <w:sz w:val="32"/>
          <w:szCs w:val="32"/>
          <w:lang w:val="en-US" w:eastAsia="zh-CN" w:bidi="ar-SA"/>
        </w:rPr>
        <w:t>增</w:t>
      </w:r>
      <w:r>
        <w:rPr>
          <w:rFonts w:hint="default" w:ascii="Times New Roman" w:hAnsi="Times New Roman" w:eastAsia="仿宋_GB2312" w:cs="Times New Roman"/>
          <w:b w:val="0"/>
          <w:bCs w:val="0"/>
          <w:kern w:val="2"/>
          <w:sz w:val="32"/>
          <w:szCs w:val="32"/>
          <w:lang w:val="en-US" w:eastAsia="zh-CN" w:bidi="ar-SA"/>
        </w:rPr>
        <w:t>收</w:t>
      </w:r>
      <w:r>
        <w:rPr>
          <w:rFonts w:hint="eastAsia" w:ascii="Times New Roman" w:hAnsi="Times New Roman" w:eastAsia="仿宋_GB2312" w:cs="Times New Roman"/>
          <w:b w:val="0"/>
          <w:bCs w:val="0"/>
          <w:kern w:val="2"/>
          <w:sz w:val="32"/>
          <w:szCs w:val="32"/>
          <w:lang w:val="en-US" w:eastAsia="zh-CN" w:bidi="ar-SA"/>
        </w:rPr>
        <w:t>16,856</w:t>
      </w:r>
      <w:r>
        <w:rPr>
          <w:rFonts w:hint="default" w:ascii="Times New Roman" w:hAnsi="Times New Roman" w:eastAsia="仿宋_GB2312" w:cs="Times New Roman"/>
          <w:b w:val="0"/>
          <w:bCs w:val="0"/>
          <w:kern w:val="2"/>
          <w:sz w:val="32"/>
          <w:szCs w:val="32"/>
          <w:lang w:val="en-US" w:eastAsia="zh-CN" w:bidi="ar-SA"/>
        </w:rPr>
        <w:t>万元。政府性基金预算支出</w:t>
      </w:r>
      <w:r>
        <w:rPr>
          <w:rFonts w:hint="eastAsia" w:ascii="Times New Roman" w:hAnsi="Times New Roman" w:eastAsia="仿宋_GB2312" w:cs="Times New Roman"/>
          <w:b w:val="0"/>
          <w:bCs w:val="0"/>
          <w:kern w:val="2"/>
          <w:sz w:val="32"/>
          <w:szCs w:val="32"/>
          <w:lang w:val="en-US" w:eastAsia="zh-CN" w:bidi="ar-SA"/>
        </w:rPr>
        <w:t>27,118</w:t>
      </w:r>
      <w:r>
        <w:rPr>
          <w:rFonts w:hint="default" w:ascii="Times New Roman" w:hAnsi="Times New Roman" w:eastAsia="仿宋_GB2312" w:cs="Times New Roman"/>
          <w:b w:val="0"/>
          <w:bCs w:val="0"/>
          <w:kern w:val="2"/>
          <w:sz w:val="32"/>
          <w:szCs w:val="32"/>
          <w:lang w:val="en-US" w:eastAsia="zh-CN" w:bidi="ar-SA"/>
        </w:rPr>
        <w:t>万元，</w:t>
      </w:r>
      <w:r>
        <w:rPr>
          <w:rFonts w:hint="eastAsia" w:ascii="Times New Roman" w:hAnsi="Times New Roman" w:eastAsia="仿宋_GB2312" w:cs="Times New Roman"/>
          <w:b w:val="0"/>
          <w:bCs w:val="0"/>
          <w:kern w:val="2"/>
          <w:sz w:val="32"/>
          <w:szCs w:val="32"/>
          <w:lang w:val="en-US" w:eastAsia="zh-CN" w:bidi="ar-SA"/>
        </w:rPr>
        <w:t>较</w:t>
      </w:r>
      <w:r>
        <w:rPr>
          <w:rFonts w:hint="default" w:ascii="Times New Roman" w:hAnsi="Times New Roman" w:eastAsia="仿宋_GB2312" w:cs="Times New Roman"/>
          <w:b w:val="0"/>
          <w:bCs w:val="0"/>
          <w:kern w:val="2"/>
          <w:sz w:val="32"/>
          <w:szCs w:val="32"/>
          <w:lang w:val="en-US" w:eastAsia="zh-CN" w:bidi="ar-SA"/>
        </w:rPr>
        <w:t>上年同期</w:t>
      </w:r>
      <w:r>
        <w:rPr>
          <w:rFonts w:hint="eastAsia" w:ascii="Times New Roman" w:hAnsi="Times New Roman" w:eastAsia="仿宋_GB2312" w:cs="Times New Roman"/>
          <w:b w:val="0"/>
          <w:bCs w:val="0"/>
          <w:kern w:val="2"/>
          <w:sz w:val="32"/>
          <w:szCs w:val="32"/>
          <w:lang w:val="en-US" w:eastAsia="zh-CN" w:bidi="ar-SA"/>
        </w:rPr>
        <w:t>38,922</w:t>
      </w:r>
      <w:r>
        <w:rPr>
          <w:rFonts w:hint="default" w:ascii="Times New Roman" w:hAnsi="Times New Roman" w:eastAsia="仿宋_GB2312" w:cs="Times New Roman"/>
          <w:b w:val="0"/>
          <w:bCs w:val="0"/>
          <w:kern w:val="2"/>
          <w:sz w:val="32"/>
          <w:szCs w:val="32"/>
          <w:lang w:val="en-US" w:eastAsia="zh-CN" w:bidi="ar-SA"/>
        </w:rPr>
        <w:t>万元下降</w:t>
      </w:r>
      <w:r>
        <w:rPr>
          <w:rFonts w:hint="eastAsia" w:ascii="Times New Roman" w:hAnsi="Times New Roman" w:eastAsia="仿宋_GB2312" w:cs="Times New Roman"/>
          <w:b w:val="0"/>
          <w:bCs w:val="0"/>
          <w:kern w:val="2"/>
          <w:sz w:val="32"/>
          <w:szCs w:val="32"/>
          <w:lang w:val="en-US" w:eastAsia="zh-CN" w:bidi="ar-SA"/>
        </w:rPr>
        <w:t>30.30%</w:t>
      </w:r>
      <w:r>
        <w:rPr>
          <w:rFonts w:hint="default" w:ascii="Times New Roman" w:hAnsi="Times New Roman" w:eastAsia="仿宋_GB2312" w:cs="Times New Roman"/>
          <w:b w:val="0"/>
          <w:bCs w:val="0"/>
          <w:kern w:val="2"/>
          <w:sz w:val="32"/>
          <w:szCs w:val="32"/>
          <w:lang w:val="en-US" w:eastAsia="zh-CN" w:bidi="ar-SA"/>
        </w:rPr>
        <w:t>，减支</w:t>
      </w:r>
      <w:r>
        <w:rPr>
          <w:rFonts w:hint="eastAsia" w:ascii="Times New Roman" w:hAnsi="Times New Roman" w:eastAsia="仿宋_GB2312" w:cs="Times New Roman"/>
          <w:b w:val="0"/>
          <w:bCs w:val="0"/>
          <w:kern w:val="2"/>
          <w:sz w:val="32"/>
          <w:szCs w:val="32"/>
          <w:lang w:val="en-US" w:eastAsia="zh-CN" w:bidi="ar-SA"/>
        </w:rPr>
        <w:t>11,804</w:t>
      </w:r>
      <w:r>
        <w:rPr>
          <w:rFonts w:hint="default" w:ascii="Times New Roman" w:hAnsi="Times New Roman" w:eastAsia="仿宋_GB2312" w:cs="Times New Roman"/>
          <w:b w:val="0"/>
          <w:bCs w:val="0"/>
          <w:kern w:val="2"/>
          <w:sz w:val="32"/>
          <w:szCs w:val="32"/>
          <w:lang w:val="en-US" w:eastAsia="zh-CN" w:bidi="ar-SA"/>
        </w:rPr>
        <w:t>万元。</w:t>
      </w:r>
    </w:p>
    <w:p w14:paraId="2FB5465D">
      <w:pPr>
        <w:widowControl w:val="0"/>
        <w:spacing w:line="560" w:lineRule="exact"/>
        <w:ind w:firstLine="64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w:t>
      </w:r>
      <w:r>
        <w:rPr>
          <w:rFonts w:hint="default" w:ascii="黑体" w:hAnsi="黑体" w:eastAsia="黑体" w:cs="黑体"/>
          <w:kern w:val="2"/>
          <w:sz w:val="32"/>
          <w:szCs w:val="32"/>
          <w:lang w:val="en-US" w:eastAsia="zh-CN" w:bidi="ar-SA"/>
        </w:rPr>
        <w:t>2023</w:t>
      </w:r>
      <w:r>
        <w:rPr>
          <w:rFonts w:hint="eastAsia" w:ascii="黑体" w:hAnsi="黑体" w:eastAsia="黑体" w:cs="黑体"/>
          <w:kern w:val="2"/>
          <w:sz w:val="32"/>
          <w:szCs w:val="32"/>
          <w:lang w:val="en-US" w:eastAsia="zh-CN" w:bidi="ar-SA"/>
        </w:rPr>
        <w:t>年县级国有资本经营预算收支决算情况</w:t>
      </w:r>
    </w:p>
    <w:p w14:paraId="322822F3">
      <w:pPr>
        <w:keepNext w:val="0"/>
        <w:keepLines w:val="0"/>
        <w:pageBreakBefore w:val="0"/>
        <w:kinsoku/>
        <w:wordWrap/>
        <w:overflowPunct/>
        <w:topLinePunct w:val="0"/>
        <w:autoSpaceDE/>
        <w:autoSpaceDN/>
        <w:bidi w:val="0"/>
        <w:snapToGrid/>
        <w:spacing w:line="560" w:lineRule="exact"/>
        <w:ind w:left="0" w:leftChars="0" w:firstLine="640" w:firstLineChars="200"/>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rPr>
        <w:t>国有资本经营预算收入</w:t>
      </w:r>
      <w:r>
        <w:rPr>
          <w:rFonts w:hint="default" w:ascii="Times New Roman" w:hAnsi="Times New Roman" w:eastAsia="仿宋_GB2312" w:cs="Times New Roman"/>
          <w:b w:val="0"/>
          <w:bCs/>
          <w:sz w:val="32"/>
          <w:szCs w:val="32"/>
          <w:highlight w:val="none"/>
          <w:lang w:val="en-US" w:eastAsia="zh-CN"/>
        </w:rPr>
        <w:t>158</w:t>
      </w:r>
      <w:r>
        <w:rPr>
          <w:rFonts w:hint="default" w:ascii="Times New Roman" w:hAnsi="Times New Roman" w:eastAsia="仿宋_GB2312" w:cs="Times New Roman"/>
          <w:b w:val="0"/>
          <w:bCs/>
          <w:sz w:val="32"/>
          <w:szCs w:val="32"/>
          <w:highlight w:val="none"/>
        </w:rPr>
        <w:t>万元，</w:t>
      </w:r>
      <w:r>
        <w:rPr>
          <w:rFonts w:hint="default" w:ascii="Times New Roman" w:hAnsi="Times New Roman" w:eastAsia="仿宋_GB2312" w:cs="Times New Roman"/>
          <w:b w:val="0"/>
          <w:bCs/>
          <w:sz w:val="32"/>
          <w:szCs w:val="32"/>
          <w:highlight w:val="none"/>
          <w:lang w:eastAsia="zh-CN"/>
        </w:rPr>
        <w:t>完成年初预算的</w:t>
      </w:r>
      <w:r>
        <w:rPr>
          <w:rFonts w:hint="default" w:ascii="Times New Roman" w:hAnsi="Times New Roman" w:eastAsia="仿宋_GB2312" w:cs="Times New Roman"/>
          <w:b w:val="0"/>
          <w:bCs/>
          <w:sz w:val="32"/>
          <w:szCs w:val="32"/>
          <w:highlight w:val="none"/>
          <w:lang w:val="en-US" w:eastAsia="zh-CN"/>
        </w:rPr>
        <w:t>79</w:t>
      </w:r>
      <w:r>
        <w:rPr>
          <w:rFonts w:hint="eastAsia" w:ascii="Times New Roman" w:hAnsi="Times New Roman" w:eastAsia="仿宋_GB2312" w:cs="Times New Roman"/>
          <w:b w:val="0"/>
          <w:bCs/>
          <w:sz w:val="32"/>
          <w:szCs w:val="32"/>
          <w:highlight w:val="none"/>
          <w:lang w:val="en-US" w:eastAsia="zh-CN"/>
        </w:rPr>
        <w:t>.00</w:t>
      </w:r>
      <w:r>
        <w:rPr>
          <w:rFonts w:hint="default" w:ascii="Times New Roman" w:hAnsi="Times New Roman" w:eastAsia="仿宋_GB2312" w:cs="Times New Roman"/>
          <w:b w:val="0"/>
          <w:bCs/>
          <w:sz w:val="32"/>
          <w:szCs w:val="32"/>
          <w:highlight w:val="none"/>
          <w:lang w:val="en-US" w:eastAsia="zh-CN"/>
        </w:rPr>
        <w:t>%，</w:t>
      </w:r>
      <w:r>
        <w:rPr>
          <w:rFonts w:hint="eastAsia" w:ascii="Times New Roman" w:hAnsi="Times New Roman" w:eastAsia="仿宋_GB2312" w:cs="Times New Roman"/>
          <w:b w:val="0"/>
          <w:bCs/>
          <w:sz w:val="32"/>
          <w:szCs w:val="32"/>
          <w:highlight w:val="none"/>
          <w:lang w:val="en-US" w:eastAsia="zh-CN"/>
        </w:rPr>
        <w:t>较</w:t>
      </w:r>
      <w:r>
        <w:rPr>
          <w:rFonts w:hint="default" w:ascii="Times New Roman" w:hAnsi="Times New Roman" w:eastAsia="仿宋_GB2312" w:cs="Times New Roman"/>
          <w:b w:val="0"/>
          <w:bCs/>
          <w:sz w:val="32"/>
          <w:szCs w:val="32"/>
          <w:highlight w:val="none"/>
          <w:lang w:val="en-US" w:eastAsia="zh-CN"/>
        </w:rPr>
        <w:t>上年同期增长158万元</w:t>
      </w:r>
      <w:r>
        <w:rPr>
          <w:rFonts w:hint="default" w:ascii="Times New Roman" w:hAnsi="Times New Roman" w:eastAsia="仿宋_GB2312" w:cs="Times New Roman"/>
          <w:b w:val="0"/>
          <w:bCs/>
          <w:sz w:val="32"/>
          <w:szCs w:val="32"/>
          <w:highlight w:val="none"/>
        </w:rPr>
        <w:t>。国有资本经营预算支出完成</w:t>
      </w:r>
      <w:r>
        <w:rPr>
          <w:rFonts w:hint="default" w:ascii="Times New Roman" w:hAnsi="Times New Roman" w:eastAsia="仿宋_GB2312" w:cs="Times New Roman"/>
          <w:b w:val="0"/>
          <w:bCs/>
          <w:sz w:val="32"/>
          <w:szCs w:val="32"/>
          <w:highlight w:val="none"/>
          <w:lang w:val="en-US" w:eastAsia="zh-CN"/>
        </w:rPr>
        <w:t>6</w:t>
      </w:r>
      <w:r>
        <w:rPr>
          <w:rFonts w:hint="default" w:ascii="Times New Roman" w:hAnsi="Times New Roman" w:eastAsia="仿宋_GB2312" w:cs="Times New Roman"/>
          <w:b w:val="0"/>
          <w:bCs/>
          <w:sz w:val="32"/>
          <w:szCs w:val="32"/>
          <w:highlight w:val="none"/>
        </w:rPr>
        <w:t>万元，</w:t>
      </w:r>
      <w:r>
        <w:rPr>
          <w:rFonts w:hint="default" w:ascii="Times New Roman" w:hAnsi="Times New Roman" w:eastAsia="仿宋_GB2312" w:cs="Times New Roman"/>
          <w:b w:val="0"/>
          <w:bCs/>
          <w:sz w:val="32"/>
          <w:szCs w:val="32"/>
          <w:highlight w:val="none"/>
          <w:lang w:eastAsia="zh-CN"/>
        </w:rPr>
        <w:t>完成年初预算</w:t>
      </w:r>
      <w:r>
        <w:rPr>
          <w:rFonts w:hint="default" w:ascii="Times New Roman" w:hAnsi="Times New Roman" w:eastAsia="仿宋_GB2312" w:cs="Times New Roman"/>
          <w:b w:val="0"/>
          <w:bCs/>
          <w:sz w:val="32"/>
          <w:szCs w:val="32"/>
          <w:highlight w:val="none"/>
          <w:lang w:val="en-US" w:eastAsia="zh-CN"/>
        </w:rPr>
        <w:t>的31.58%，</w:t>
      </w:r>
      <w:r>
        <w:rPr>
          <w:rFonts w:hint="eastAsia" w:ascii="Times New Roman" w:hAnsi="Times New Roman" w:eastAsia="仿宋_GB2312" w:cs="Times New Roman"/>
          <w:b w:val="0"/>
          <w:bCs/>
          <w:sz w:val="32"/>
          <w:szCs w:val="32"/>
          <w:highlight w:val="none"/>
          <w:lang w:eastAsia="zh-CN"/>
        </w:rPr>
        <w:t>较</w:t>
      </w:r>
      <w:r>
        <w:rPr>
          <w:rFonts w:hint="default" w:ascii="Times New Roman" w:hAnsi="Times New Roman" w:eastAsia="仿宋_GB2312" w:cs="Times New Roman"/>
          <w:b w:val="0"/>
          <w:bCs/>
          <w:sz w:val="32"/>
          <w:szCs w:val="32"/>
          <w:highlight w:val="none"/>
        </w:rPr>
        <w:t>上年</w:t>
      </w:r>
      <w:r>
        <w:rPr>
          <w:rFonts w:hint="default" w:ascii="Times New Roman" w:hAnsi="Times New Roman" w:eastAsia="仿宋_GB2312" w:cs="Times New Roman"/>
          <w:b w:val="0"/>
          <w:bCs/>
          <w:sz w:val="32"/>
          <w:szCs w:val="32"/>
          <w:highlight w:val="none"/>
          <w:lang w:eastAsia="zh-CN"/>
        </w:rPr>
        <w:t>同</w:t>
      </w:r>
      <w:r>
        <w:rPr>
          <w:rFonts w:hint="default" w:ascii="Times New Roman" w:hAnsi="Times New Roman" w:eastAsia="仿宋_GB2312" w:cs="Times New Roman"/>
          <w:b w:val="0"/>
          <w:bCs/>
          <w:sz w:val="32"/>
          <w:szCs w:val="32"/>
          <w:highlight w:val="none"/>
        </w:rPr>
        <w:t>期</w:t>
      </w:r>
      <w:r>
        <w:rPr>
          <w:rFonts w:hint="default" w:ascii="Times New Roman" w:hAnsi="Times New Roman" w:eastAsia="仿宋_GB2312" w:cs="Times New Roman"/>
          <w:b w:val="0"/>
          <w:bCs/>
          <w:sz w:val="32"/>
          <w:szCs w:val="32"/>
          <w:highlight w:val="none"/>
          <w:lang w:val="en-US" w:eastAsia="zh-CN"/>
        </w:rPr>
        <w:t>8</w:t>
      </w:r>
      <w:r>
        <w:rPr>
          <w:rFonts w:hint="default" w:ascii="Times New Roman" w:hAnsi="Times New Roman" w:eastAsia="仿宋_GB2312" w:cs="Times New Roman"/>
          <w:b w:val="0"/>
          <w:bCs/>
          <w:sz w:val="32"/>
          <w:szCs w:val="32"/>
          <w:highlight w:val="none"/>
        </w:rPr>
        <w:t>万元</w:t>
      </w:r>
      <w:r>
        <w:rPr>
          <w:rFonts w:hint="default" w:ascii="Times New Roman" w:hAnsi="Times New Roman" w:eastAsia="仿宋_GB2312" w:cs="Times New Roman"/>
          <w:b w:val="0"/>
          <w:bCs/>
          <w:sz w:val="32"/>
          <w:szCs w:val="32"/>
          <w:highlight w:val="none"/>
          <w:lang w:eastAsia="zh-CN"/>
        </w:rPr>
        <w:t>减</w:t>
      </w:r>
      <w:r>
        <w:rPr>
          <w:rFonts w:hint="default" w:ascii="Times New Roman" w:hAnsi="Times New Roman" w:eastAsia="仿宋_GB2312" w:cs="Times New Roman"/>
          <w:b w:val="0"/>
          <w:bCs/>
          <w:sz w:val="32"/>
          <w:szCs w:val="32"/>
          <w:highlight w:val="none"/>
        </w:rPr>
        <w:t>支</w:t>
      </w:r>
      <w:r>
        <w:rPr>
          <w:rFonts w:hint="default" w:ascii="Times New Roman" w:hAnsi="Times New Roman" w:eastAsia="仿宋_GB2312" w:cs="Times New Roman"/>
          <w:b w:val="0"/>
          <w:bCs/>
          <w:sz w:val="32"/>
          <w:szCs w:val="32"/>
          <w:highlight w:val="none"/>
          <w:lang w:val="en-US" w:eastAsia="zh-CN"/>
        </w:rPr>
        <w:t>2</w:t>
      </w:r>
      <w:r>
        <w:rPr>
          <w:rFonts w:hint="default" w:ascii="Times New Roman" w:hAnsi="Times New Roman" w:eastAsia="仿宋_GB2312" w:cs="Times New Roman"/>
          <w:b w:val="0"/>
          <w:bCs/>
          <w:sz w:val="32"/>
          <w:szCs w:val="32"/>
          <w:highlight w:val="none"/>
        </w:rPr>
        <w:t>万元。</w:t>
      </w:r>
    </w:p>
    <w:p w14:paraId="3B7E5893">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EB0B9A"/>
    <w:rsid w:val="12FB30BA"/>
    <w:rsid w:val="42146CED"/>
    <w:rsid w:val="42A57563"/>
    <w:rsid w:val="5AD12E86"/>
    <w:rsid w:val="6AF005EB"/>
    <w:rsid w:val="6EEB0B9A"/>
    <w:rsid w:val="73B01885"/>
    <w:rsid w:val="7E430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tabs>
        <w:tab w:val="left" w:pos="567"/>
      </w:tabs>
      <w:spacing w:before="100" w:beforeLines="100" w:beforeAutospacing="0" w:after="100" w:afterLines="100" w:afterAutospacing="0" w:line="560" w:lineRule="exact"/>
      <w:ind w:firstLine="0" w:firstLineChars="0"/>
      <w:jc w:val="center"/>
      <w:outlineLvl w:val="0"/>
    </w:pPr>
    <w:rPr>
      <w:rFonts w:ascii="Times New Roman" w:hAnsi="Times New Roman" w:eastAsia="方正小标宋简体"/>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昆明市禄劝县党政机关单位</Company>
  <Pages>7</Pages>
  <Words>0</Words>
  <Characters>0</Characters>
  <Lines>0</Lines>
  <Paragraphs>0</Paragraphs>
  <TotalTime>0</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2024-11-01T08:57:00Z</dcterms:created>
  <dc:creator>Administrator</dc:creator>
  <cp:lastModifiedBy>Administrator</cp:lastModifiedBy>
  <dcterms:modified xsi:type="dcterms:W3CDTF">2024-11-01T09:00:53Z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C2B750DBCE2A4658B60A728F1ECAEA9A_11</vt:lpwstr>
  </property>
</Properties>
</file>