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Theme="minorEastAsia" w:cstheme="minorEastAsia"/>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禄劝彝族苗族自治县发展和改革局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关于马鹿塘杜鹃花海景区门票价格和景区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停车场机动车停放服务收费试行价格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转正式价格的通知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禄发改规〔2023〕1号</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马鹿塘乡人民政府：</w:t>
      </w:r>
    </w:p>
    <w:p>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马鹿塘杜鹃花海景区门票价格和景区停车场机动车停放服务收费试行价格试行期已满。我局按程序向自治县人民政府上报《马鹿塘杜鹃花海景区门票价格和景区停车场机动车停放服务收费试行价格转正式价格的请示》（禄发改请〔2023〕25号），经自治县人民政府研究，同意试行价格转正式价格。现就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firstLine="646" w:firstLineChars="202"/>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马鹿塘杜鹃花海景区门票价格每人次50元</w:t>
      </w:r>
    </w:p>
    <w:p>
      <w:pPr>
        <w:keepNext w:val="0"/>
        <w:keepLines w:val="0"/>
        <w:pageBreakBefore w:val="0"/>
        <w:widowControl w:val="0"/>
        <w:numPr>
          <w:numId w:val="0"/>
        </w:numPr>
        <w:kinsoku/>
        <w:wordWrap/>
        <w:overflowPunct/>
        <w:topLinePunct w:val="0"/>
        <w:autoSpaceDE/>
        <w:autoSpaceDN/>
        <w:bidi w:val="0"/>
        <w:adjustRightInd/>
        <w:snapToGrid/>
        <w:spacing w:line="584"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门票优惠减免政策，免票入园对象：6 周岁 （含 6 周岁）或者身高 1.2 米（含 1.2 米）以下的儿童；年满 70 周岁以上的老年人或持《离休证》的人员；持有有效证件的残疾人（盲人、双下肢残疾人和其他重度残疾人，允许一名陪护人员免票进入）；持有有效证件的现役军人、残疾军人及军队离休、退休干部和退休士官；持有《云南省高层次人才绿色通道服务证》人员，本人可携父母、配偶、子女最多 6 人免票入园；对本人持有《云南省见义勇为人员优待证》或《云南省昆明市见义勇为人员优待证》的人员；80周岁以上老年人持老年优待证等有效证件进入景区的，可以带1名陪护人员免费进入。门票减半入园对象：6－18 周岁（含 18 周岁）的未成年人；60周岁（含 60 周岁）－70 周岁（不含 70 周岁）的老年人；持有有效证件的全日制大学本科及以下学历的在读学生。法律、法规和有关政策明确规定的其他减免对象。</w:t>
      </w:r>
    </w:p>
    <w:p>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二、景区停车收费</w:t>
      </w:r>
    </w:p>
    <w:p>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景区停车场机动车停放服务收费每车次10元(24小时内)，30分钟内免费停放。</w:t>
      </w:r>
    </w:p>
    <w:p>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三、马鹿塘乡人民政府要严格执行国家、省、市有关价格管理的法律、法规和政策，规范自身价格行为，按明码标价的有关规定将门票价格、景区停车场机动车停放服务收费和各种优惠措施在景区售票处和景区停车场进行公示，并做好宣传解释，自觉接受价格、市场监管、文化旅游等部门的监督检查。 </w:t>
      </w:r>
    </w:p>
    <w:p>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四、本收费标准自发文之日起3个月后执行，正式执行后原《禄劝彝族苗族自治县发展改革和经济贸易局关于马鹿塘杜鹃花海景区门票价格和景区停车费试行价格的批复》（禄发改经价〔2017〕6号）同时废止。</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sz w:val="32"/>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sz w:val="32"/>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sz w:val="32"/>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禄劝彝族苗族自治县发展和改革局</w:t>
      </w:r>
    </w:p>
    <w:p>
      <w:pPr>
        <w:pStyle w:val="2"/>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2023年7月11日</w:t>
      </w:r>
    </w:p>
    <w:p>
      <w:pPr>
        <w:keepNext w:val="0"/>
        <w:keepLines w:val="0"/>
        <w:pageBreakBefore w:val="0"/>
        <w:widowControl w:val="0"/>
        <w:kinsoku/>
        <w:wordWrap/>
        <w:overflowPunct/>
        <w:topLinePunct w:val="0"/>
        <w:autoSpaceDE/>
        <w:autoSpaceDN/>
        <w:bidi w:val="0"/>
        <w:adjustRightInd/>
        <w:snapToGrid/>
        <w:spacing w:line="240" w:lineRule="auto"/>
        <w:ind w:firstLine="646" w:firstLineChars="202"/>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（此件公开发布）</w:t>
      </w:r>
    </w:p>
    <w:p>
      <w:pPr>
        <w:ind w:right="-512" w:rightChars="-244" w:firstLine="5120" w:firstLineChars="1600"/>
        <w:jc w:val="both"/>
        <w:rPr>
          <w:rFonts w:hint="eastAsia" w:ascii="Times New Roman" w:hAnsi="Times New Roman"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Times New Roman" w:hAnsi="Times New Roman"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Times New Roman" w:hAnsi="Times New Roman"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Times New Roman" w:hAnsi="Times New Roman"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Times New Roman" w:hAnsi="Times New Roman"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Times New Roman" w:hAnsi="Times New Roman" w:eastAsia="仿宋_GB2312"/>
          <w:color w:val="000000" w:themeColor="text1"/>
          <w:sz w:val="32"/>
          <w:szCs w:val="32"/>
          <w:lang w:val="en-US" w:eastAsia="zh-CN"/>
          <w14:textFill>
            <w14:solidFill>
              <w14:schemeClr w14:val="tx1"/>
            </w14:solidFill>
          </w14:textFill>
        </w:rPr>
      </w:pPr>
    </w:p>
    <w:p>
      <w:pPr>
        <w:bidi w:val="0"/>
        <w:jc w:val="both"/>
        <w:rPr>
          <w:rFonts w:hint="eastAsia" w:ascii="Times New Roman" w:hAnsi="Times New Roman" w:eastAsiaTheme="minorEastAsia" w:cstheme="minorEastAsia"/>
          <w:color w:val="auto"/>
          <w:sz w:val="44"/>
          <w:szCs w:val="44"/>
          <w:lang w:val="en-US" w:eastAsia="zh-CN"/>
        </w:rPr>
      </w:pPr>
    </w:p>
    <w:p>
      <w:pPr>
        <w:spacing w:before="104" w:line="220" w:lineRule="auto"/>
        <w:rPr>
          <w:rFonts w:ascii="Times New Roman" w:hAnsi="Times New Roman" w:eastAsia="仿宋" w:cs="仿宋"/>
          <w:spacing w:val="-13"/>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894" w:right="1474" w:bottom="184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華康墨字體">
    <w:panose1 w:val="02010609010101010101"/>
    <w:charset w:val="88"/>
    <w:family w:val="auto"/>
    <w:pitch w:val="default"/>
    <w:sig w:usb0="80000001" w:usb1="28091800" w:usb2="00000016" w:usb3="00000000" w:csb0="00100000" w:csb1="00000000"/>
  </w:font>
  <w:font w:name="方正兰亭超细黑简体">
    <w:panose1 w:val="02000000000000000000"/>
    <w:charset w:val="86"/>
    <w:family w:val="auto"/>
    <w:pitch w:val="default"/>
    <w:sig w:usb0="00000001" w:usb1="0800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小篆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ascii="宋体" w:hAnsi="宋体" w:eastAsia="宋体" w:cs="宋体"/>
        <w:b/>
        <w:bCs/>
        <w:color w:val="005192"/>
        <w:sz w:val="26"/>
        <w:szCs w:val="26"/>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209550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center" w:pos="4153"/>
                              <w:tab w:val="righ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left;mso-position-horizontal-relative:margin;mso-wrap-style:none;z-index:251661312;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jilZ1AAAAAc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pPr>
                      <w:pStyle w:val="6"/>
                      <w:tabs>
                        <w:tab w:val="center" w:pos="4153"/>
                        <w:tab w:val="righ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方正小标宋简体" w:hAnsi="方正小标宋简体" w:eastAsia="方正小标宋简体" w:cs="方正小标宋简体"/>
        <w:b w:val="0"/>
        <w:bCs w:val="0"/>
        <w:color w:val="005192"/>
        <w:sz w:val="26"/>
        <w:szCs w:val="26"/>
        <w:lang w:val="en-US" w:eastAsia="zh-CN"/>
      </w:rPr>
      <w:t>禄禄劝彝族苗族自治县人民政府发布</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7A317"/>
    <w:multiLevelType w:val="singleLevel"/>
    <w:tmpl w:val="0617A3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162AE6"/>
    <w:rsid w:val="080F63D8"/>
    <w:rsid w:val="09341458"/>
    <w:rsid w:val="0B0912D7"/>
    <w:rsid w:val="0BE30D83"/>
    <w:rsid w:val="0F0D1636"/>
    <w:rsid w:val="152D2DCA"/>
    <w:rsid w:val="188C515A"/>
    <w:rsid w:val="1968306E"/>
    <w:rsid w:val="1CB53A68"/>
    <w:rsid w:val="1DEC284C"/>
    <w:rsid w:val="1E6523AC"/>
    <w:rsid w:val="22440422"/>
    <w:rsid w:val="26342786"/>
    <w:rsid w:val="31091FAE"/>
    <w:rsid w:val="31A15F24"/>
    <w:rsid w:val="31CB4D59"/>
    <w:rsid w:val="35A93D3C"/>
    <w:rsid w:val="37396A65"/>
    <w:rsid w:val="395347B5"/>
    <w:rsid w:val="39A232A0"/>
    <w:rsid w:val="39E745AA"/>
    <w:rsid w:val="3B5A6BBB"/>
    <w:rsid w:val="3B6B354D"/>
    <w:rsid w:val="3BD7602C"/>
    <w:rsid w:val="3EDA13A6"/>
    <w:rsid w:val="40230909"/>
    <w:rsid w:val="41545114"/>
    <w:rsid w:val="42F058B7"/>
    <w:rsid w:val="436109F6"/>
    <w:rsid w:val="441A38D4"/>
    <w:rsid w:val="46A24568"/>
    <w:rsid w:val="46BA7DDF"/>
    <w:rsid w:val="47971473"/>
    <w:rsid w:val="48C648B5"/>
    <w:rsid w:val="493479C9"/>
    <w:rsid w:val="4BC77339"/>
    <w:rsid w:val="4C9236C5"/>
    <w:rsid w:val="4D4B4B72"/>
    <w:rsid w:val="4E734A67"/>
    <w:rsid w:val="505C172E"/>
    <w:rsid w:val="52F46F0B"/>
    <w:rsid w:val="53D8014D"/>
    <w:rsid w:val="55E064E0"/>
    <w:rsid w:val="572C6D10"/>
    <w:rsid w:val="574D2130"/>
    <w:rsid w:val="5A790F5C"/>
    <w:rsid w:val="5DC34279"/>
    <w:rsid w:val="5E1D28FF"/>
    <w:rsid w:val="608816D1"/>
    <w:rsid w:val="60EF4E7F"/>
    <w:rsid w:val="65754DFC"/>
    <w:rsid w:val="665233C1"/>
    <w:rsid w:val="695E40EB"/>
    <w:rsid w:val="6AD9688B"/>
    <w:rsid w:val="6D0E3F22"/>
    <w:rsid w:val="6F1C565D"/>
    <w:rsid w:val="6FAE0DE5"/>
    <w:rsid w:val="719C6B6F"/>
    <w:rsid w:val="739F55AA"/>
    <w:rsid w:val="764B308E"/>
    <w:rsid w:val="7C9011D9"/>
    <w:rsid w:val="7CBB6E0D"/>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Calibri" w:hAnsi="Calibri" w:eastAsia="宋体" w:cs="Calibri"/>
      <w:sz w:val="21"/>
      <w:szCs w:val="21"/>
    </w:rPr>
  </w:style>
  <w:style w:type="paragraph" w:styleId="3">
    <w:name w:val="annotation text"/>
    <w:basedOn w:val="1"/>
    <w:qFormat/>
    <w:uiPriority w:val="0"/>
    <w:pPr>
      <w:jc w:val="left"/>
    </w:pPr>
  </w:style>
  <w:style w:type="paragraph" w:styleId="4">
    <w:name w:val="Body Text"/>
    <w:next w:val="5"/>
    <w:qFormat/>
    <w:uiPriority w:val="0"/>
    <w:pPr>
      <w:widowControl w:val="0"/>
      <w:jc w:val="both"/>
    </w:pPr>
    <w:rPr>
      <w:rFonts w:ascii="宋体" w:hAnsi="宋体" w:eastAsia="仿宋_GB2312" w:cs="宋体"/>
      <w:kern w:val="2"/>
      <w:sz w:val="32"/>
      <w:szCs w:val="32"/>
      <w:lang w:val="en-US" w:eastAsia="zh-CN" w:bidi="ar-SA"/>
    </w:rPr>
  </w:style>
  <w:style w:type="paragraph" w:styleId="5">
    <w:name w:val="toc 5"/>
    <w:next w:val="1"/>
    <w:qFormat/>
    <w:uiPriority w:val="0"/>
    <w:pPr>
      <w:widowControl w:val="0"/>
      <w:spacing w:before="100" w:beforeAutospacing="1" w:after="100" w:afterAutospacing="1"/>
      <w:ind w:left="1680"/>
      <w:jc w:val="both"/>
    </w:pPr>
    <w:rPr>
      <w:rFonts w:ascii="Times New Roman" w:hAnsi="Times New Roman" w:eastAsia="仿宋_GB2312" w:cs="Times New Roman"/>
      <w:kern w:val="2"/>
      <w:sz w:val="32"/>
      <w:szCs w:val="24"/>
      <w:lang w:val="en-US" w:eastAsia="zh-CN" w:bidi="ar-SA"/>
    </w:rPr>
  </w:style>
  <w:style w:type="paragraph" w:styleId="6">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仿宋_GB2312" w:cs="Times New Roman"/>
      <w:kern w:val="2"/>
      <w:sz w:val="18"/>
      <w:szCs w:val="18"/>
      <w:lang w:val="en-US" w:eastAsia="zh-CN" w:bidi="ar"/>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rFonts w:ascii="Times New Roman" w:hAnsi="Times New Roman" w:eastAsia="宋体" w:cs="Times New Roman"/>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15"/>
    <w:basedOn w:val="10"/>
    <w:qFormat/>
    <w:uiPriority w:val="0"/>
    <w:rPr>
      <w:rFonts w:hint="default" w:ascii="Times New Roman" w:hAnsi="Times New Roman" w:eastAsia="宋体" w:cs="Times New Roman"/>
    </w:rPr>
  </w:style>
  <w:style w:type="character" w:customStyle="1" w:styleId="15">
    <w:name w:val="10"/>
    <w:basedOn w:val="10"/>
    <w:qFormat/>
    <w:uiPriority w:val="0"/>
    <w:rPr>
      <w:rFonts w:hint="default" w:ascii="Calibri" w:hAnsi="Calibri" w:cs="Calibri"/>
    </w:rPr>
  </w:style>
  <w:style w:type="character" w:customStyle="1" w:styleId="16">
    <w:name w:val="16"/>
    <w:basedOn w:val="10"/>
    <w:qFormat/>
    <w:uiPriority w:val="0"/>
    <w:rPr>
      <w:rFonts w:hint="default" w:ascii="Times New Roman" w:hAnsi="Times New Roman" w:eastAsia="宋体" w:cs="Times New Roman"/>
      <w:color w:val="0000FF"/>
      <w:u w:val="single"/>
    </w:rPr>
  </w:style>
  <w:style w:type="paragraph" w:customStyle="1" w:styleId="17">
    <w:name w:val="正文 New"/>
    <w:next w:val="2"/>
    <w:qFormat/>
    <w:uiPriority w:val="0"/>
    <w:pPr>
      <w:widowControl w:val="0"/>
      <w:spacing w:line="588" w:lineRule="exact"/>
      <w:ind w:firstLine="200" w:firstLineChars="200"/>
      <w:jc w:val="both"/>
    </w:pPr>
    <w:rPr>
      <w:rFonts w:ascii="Times New Roman" w:hAnsi="Times New Roman" w:eastAsia="方正仿宋_GBK" w:cs="Calibri"/>
      <w:kern w:val="2"/>
      <w:sz w:val="30"/>
      <w:szCs w:val="3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1329</Words>
  <Characters>1365</Characters>
  <Lines>1</Lines>
  <Paragraphs>1</Paragraphs>
  <TotalTime>3</TotalTime>
  <ScaleCrop>false</ScaleCrop>
  <LinksUpToDate>false</LinksUpToDate>
  <CharactersWithSpaces>1365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2023-12-12T09:10:06Z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48C61CB29D3F4D9384F5922CF0F7FFB4</vt:lpwstr>
  </property>
</Properties>
</file>