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15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0"/>
        <w:gridCol w:w="1005"/>
        <w:gridCol w:w="6120"/>
        <w:gridCol w:w="825"/>
        <w:gridCol w:w="44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小标宋_GBK"/>
                <w:color w:val="000000"/>
                <w:kern w:val="0"/>
                <w:sz w:val="40"/>
                <w:szCs w:val="40"/>
              </w:rPr>
              <w:t>禄劝</w:t>
            </w:r>
            <w:r>
              <w:rPr>
                <w:rFonts w:hint="eastAsia" w:ascii="宋体" w:hAnsi="宋体" w:eastAsia="方正小标宋_GBK"/>
                <w:color w:val="000000"/>
                <w:kern w:val="0"/>
                <w:sz w:val="40"/>
                <w:szCs w:val="40"/>
                <w:lang w:eastAsia="zh-CN"/>
              </w:rPr>
              <w:t>彝族苗族自治</w:t>
            </w:r>
            <w:r>
              <w:rPr>
                <w:rFonts w:hint="eastAsia" w:ascii="宋体" w:hAnsi="宋体" w:eastAsia="方正小标宋_GBK"/>
                <w:color w:val="000000"/>
                <w:kern w:val="0"/>
                <w:sz w:val="40"/>
                <w:szCs w:val="40"/>
              </w:rPr>
              <w:t>县</w:t>
            </w:r>
            <w:r>
              <w:rPr>
                <w:rFonts w:ascii="宋体" w:hAnsi="宋体" w:eastAsia="方正小标宋_GBK"/>
                <w:color w:val="000000"/>
                <w:kern w:val="0"/>
                <w:sz w:val="40"/>
                <w:szCs w:val="40"/>
              </w:rPr>
              <w:t>农贸市场日常管理评价细则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97" w:type="dxa"/>
            <w:gridSpan w:val="7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8"/>
                <w:szCs w:val="32"/>
              </w:rPr>
              <w:t>农贸市场名称：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8"/>
                <w:szCs w:val="32"/>
              </w:rPr>
              <w:t xml:space="preserve">                               </w:t>
            </w:r>
            <w:r>
              <w:rPr>
                <w:rFonts w:ascii="宋体" w:hAnsi="宋体" w:eastAsia="方正仿宋_GBK"/>
                <w:color w:val="000000"/>
                <w:kern w:val="0"/>
                <w:sz w:val="28"/>
                <w:szCs w:val="32"/>
              </w:rPr>
              <w:t>检查人员：</w:t>
            </w:r>
            <w:r>
              <w:rPr>
                <w:rFonts w:ascii="宋体" w:hAnsi="宋体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评价标准（该项扣完为止）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方正黑体_GBK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市场依法规范管理，公共秩序良好，文明引导有力，环境卫生干净整洁，无脏乱差现象（66分）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公示栏及市场制度建设（6分）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在市场显著位置有信息公示栏，市场内各项管理制度上墙。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无信息公示栏扣0.5分，无管理制度或管理制度扣0.5分。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公示内容全面（</w:t>
            </w: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经营者的证照情况、违法违章记录、消费者投诉电话、农残快速检测结果、不合格商品退市情况和市场有关管理制度等</w:t>
            </w: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）。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公示内容不全，少一项扣0.2分。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每个出入口必须设置“四项制度”：卫生管理制度、功能分区平面图、健康教育宣传及农药残留检测公示，信息更新及时。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任一出入口缺“四项制度”的扣2分；功能分区平面图不准确的扣1分；健康教育宣传更新不及时扣0.5分；农残检测不达标、更新不及时扣0.5分。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市场秩序（3分）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从业人员文明用语、礼貌待人，规范服务。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发现从业人员服务不规范一次扣0.5分。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市场内秩序良好，无占道、漫摊经营现象，无争吵、谩骂、斗殴、使用低俗语言等现象。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市场内发现占道、漫摊经营现象扣1分，发现争吵、谩骂、斗殴、使用低俗语言等现象扣1分。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划行归市管理（7分）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划行归市符合行业规范，功能区划分合理，按划行规市分类设置相应的硬件设施。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划行归市不合理扣2分，硬件设施不达标扣1分。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市场内摊位（点）、商品销售点等管理规范有序，商品摆放整齐，商品按类别分区摆放。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市场内摊位（点）、商品销售点管理不规范，一户扣1分。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证照管理（5分）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市场、商铺、摊位（点）、市场内餐饮店铺证照齐全（营业执照，食品经营（备案）许可证，健康证等），亮证经营。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市场、商铺、摊位（点）、市场内餐饮店铺证照不齐或未亮证1户扣1分。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水产区管理（4分）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有独立上、下水设施，独立宰杀区。不在宰杀区外宰杀，宰杀垃圾做到规范处理、即产即清，污水处理达标排放。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未达标一户扣0.5分。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张贴并严格落实定期休市制度和清洗消毒制度。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未落实一户扣0.5分。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活禽区管理（4分）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活禽经营实行宰杀区、展示区、销售区分离，宰杀区做到全封闭、地面无污垢、残留垃圾。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未达标一户扣0.5分。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落实“三清一消一清运”要求。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未落实一户扣0.5分。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疫情防控（4分）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按照要求，严格落实疫情常态化防控措施。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未做到扣4分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野生动植物保护（4分）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门店招牌和营业执照经营范围不得出现“野生动物”“野味”等词汇，禁止出现野生动植物交易和销售禁止使用的捕猎工具的情况。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出现一起扣2分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市场环境管理（12分）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市场内环境卫生干净整洁、无乱扔（堆）杂物现象，无垃圾、无积水，无脏乱差现象。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发现乱扔（堆）杂物现象的扣1分，有垃圾、有积水，有脏乱差现象的一个点扣1分。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设有足够的分类垃圾桶，垃圾房密闭，垃圾清运及时。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不符合一项扣1分。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ascii="宋体" w:hAnsi="宋体" w:eastAsia="方正仿宋_GBK"/>
                <w:kern w:val="0"/>
                <w:szCs w:val="21"/>
              </w:rPr>
              <w:t>无随地吐痰和吸烟现象。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发现一起扣1分。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ascii="宋体" w:hAnsi="宋体" w:eastAsia="方正仿宋_GBK"/>
                <w:kern w:val="0"/>
                <w:szCs w:val="21"/>
              </w:rPr>
              <w:t>无小广告乱张贴现象。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发现小广告一次扣0.5分。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公厕管理（7分）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市场内公厕需为独立隔间冲水式公厕，有指示标识牌，有专人管理，有管理制度，免费对外开放。未</w:t>
            </w: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设在熟食经营区附近。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非独立隔间冲水式公厕扣3分；无指示标识扣0.5分，无专人管理扣0.5分，无管理制度扣0.5分；未免费开放扣1分，设在</w:t>
            </w:r>
            <w:r>
              <w:rPr>
                <w:rFonts w:ascii="宋体" w:hAnsi="宋体" w:eastAsia="方正仿宋_GBK"/>
                <w:bCs/>
                <w:color w:val="000000"/>
                <w:kern w:val="0"/>
                <w:szCs w:val="21"/>
              </w:rPr>
              <w:t>熟食经营区附近扣0.5分</w:t>
            </w: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保洁及时，无异味、无苍蝇、无小广告。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保洁不及时扣2分，发现异味、苍蝇、小广告扣1分。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有无障碍设施（设有轮椅通道、扶手、缘石坡道等无障碍设施；至少有1个方便残疾人、老年人、伤病人或孕妇儿童使用的带扶手的坐便器或蹲便器。）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无无障碍设施扣1分，无障碍设施不达标一项扣0.5分。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车辆管理（3分）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市场内无车辆进出、违停违放、乱收费现象。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发现车辆进出、违停违放1次扣1分，发现乱收费现象扣1分。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公平称（3分）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市场内设有公平秤，符合市场（商场）公平秤设置与管理规范，且每个进出口一台，有定期检查记录。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发现进出口未设公平秤的一个扣0.5分，制度未上墙的一个扣0.5分，无检查记录的扣0.5分。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投诉举报机制（4分）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市场内有投诉举报处理机制（查看投诉举报电话、投诉记录本、意见箱），有人接听受理投诉，做好投诉记录工作，有处理结果。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无投诉处理机制的扣1分，无投诉举报电话、投诉记录本、意见箱的一项扣1分，无人接听受理投诉的扣1分，无投诉记录的扣1分。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市场周边管理秩序工作（8分）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市场周边管理（8分）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无车辆乱停乱放。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出现一起扣1分。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无占道经营、以路为市、以车为摊现象。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发现占道经营、以路为市、以车为摊现象的一起扣1分。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市场内食品安全监管工作（16分）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食品安全监管（16分）</w:t>
            </w: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食品销售摊位（点）卫生整洁。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食品销售摊位（点）卫生不整洁，一个扣1分。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熟食摊（点）“三防（防鼠、防蝇、防尘）”设施齐全、工作人员穿衣戴帽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85" w:type="dxa"/>
            <w:vAlign w:val="center"/>
          </w:tcPr>
          <w:p>
            <w:pPr>
              <w:widowControl/>
              <w:jc w:val="left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熟食摊（点）“三防”设施不齐全、工作人员不穿衣戴帽，一个一项扣1分。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方正仿宋_GBK"/>
                <w:color w:val="000000"/>
                <w:kern w:val="0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 w:ascii="宋体" w:hAnsi="宋体" w:eastAsia="方正仿宋_GBK"/>
          <w:color w:val="000000"/>
          <w:kern w:val="0"/>
          <w:sz w:val="28"/>
          <w:szCs w:val="32"/>
        </w:rPr>
        <w:t xml:space="preserve">                 </w:t>
      </w:r>
      <w:r>
        <w:rPr>
          <w:rFonts w:ascii="宋体" w:hAnsi="宋体" w:eastAsia="方正仿宋_GBK"/>
          <w:color w:val="000000"/>
          <w:kern w:val="0"/>
          <w:sz w:val="28"/>
          <w:szCs w:val="32"/>
        </w:rPr>
        <w:t>检查日期：</w:t>
      </w:r>
      <w:r>
        <w:rPr>
          <w:rFonts w:hint="eastAsia" w:ascii="宋体" w:hAnsi="宋体" w:eastAsia="方正仿宋_GBK"/>
          <w:color w:val="000000"/>
          <w:kern w:val="0"/>
          <w:sz w:val="28"/>
          <w:szCs w:val="32"/>
        </w:rPr>
        <w:t xml:space="preserve">     </w:t>
      </w:r>
      <w:r>
        <w:rPr>
          <w:rFonts w:ascii="宋体" w:hAnsi="宋体" w:eastAsia="方正仿宋_GBK"/>
          <w:color w:val="000000"/>
          <w:kern w:val="0"/>
          <w:sz w:val="28"/>
          <w:szCs w:val="32"/>
        </w:rPr>
        <w:t>年</w:t>
      </w:r>
      <w:r>
        <w:rPr>
          <w:rFonts w:hint="eastAsia" w:ascii="宋体" w:hAnsi="宋体" w:eastAsia="方正仿宋_GBK"/>
          <w:color w:val="000000"/>
          <w:kern w:val="0"/>
          <w:sz w:val="28"/>
          <w:szCs w:val="32"/>
        </w:rPr>
        <w:t xml:space="preserve">   </w:t>
      </w:r>
      <w:r>
        <w:rPr>
          <w:rFonts w:ascii="宋体" w:hAnsi="宋体" w:eastAsia="方正仿宋_GBK"/>
          <w:color w:val="000000"/>
          <w:kern w:val="0"/>
          <w:sz w:val="28"/>
          <w:szCs w:val="32"/>
        </w:rPr>
        <w:t>月</w:t>
      </w:r>
      <w:r>
        <w:rPr>
          <w:rFonts w:hint="eastAsia" w:ascii="宋体" w:hAnsi="宋体" w:eastAsia="方正仿宋_GBK"/>
          <w:color w:val="000000"/>
          <w:kern w:val="0"/>
          <w:sz w:val="28"/>
          <w:szCs w:val="32"/>
        </w:rPr>
        <w:t xml:space="preserve">    </w:t>
      </w:r>
      <w:r>
        <w:rPr>
          <w:rFonts w:ascii="宋体" w:hAnsi="宋体" w:eastAsia="方正仿宋_GBK"/>
          <w:color w:val="000000"/>
          <w:kern w:val="0"/>
          <w:sz w:val="28"/>
          <w:szCs w:val="32"/>
        </w:rPr>
        <w:t>日</w:t>
      </w:r>
      <w:r>
        <w:rPr>
          <w:rFonts w:hint="eastAsia" w:ascii="宋体" w:hAnsi="宋体" w:eastAsia="方正仿宋_GBK"/>
          <w:color w:val="000000"/>
          <w:kern w:val="0"/>
          <w:sz w:val="28"/>
          <w:szCs w:val="32"/>
        </w:rPr>
        <w:t xml:space="preserve">                          </w:t>
      </w:r>
      <w:r>
        <w:rPr>
          <w:rFonts w:ascii="宋体" w:hAnsi="宋体" w:eastAsia="方正仿宋_GBK"/>
          <w:color w:val="000000"/>
          <w:kern w:val="0"/>
          <w:sz w:val="28"/>
          <w:szCs w:val="32"/>
        </w:rPr>
        <w:t>检查得分：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jI2OWQ5ODYwYTRkNjU0ODkyZmVmNTEzZjYxZTEifQ=="/>
  </w:docVars>
  <w:rsids>
    <w:rsidRoot w:val="00115DF3"/>
    <w:rsid w:val="000F6421"/>
    <w:rsid w:val="00115DF3"/>
    <w:rsid w:val="0014099D"/>
    <w:rsid w:val="005542AF"/>
    <w:rsid w:val="005C5E4F"/>
    <w:rsid w:val="005E0B94"/>
    <w:rsid w:val="00602B77"/>
    <w:rsid w:val="006E4C64"/>
    <w:rsid w:val="008C27CC"/>
    <w:rsid w:val="00C12E14"/>
    <w:rsid w:val="00D83437"/>
    <w:rsid w:val="21A440F5"/>
    <w:rsid w:val="21F951F8"/>
    <w:rsid w:val="411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1945</Words>
  <Characters>1987</Characters>
  <Lines>16</Lines>
  <Paragraphs>4</Paragraphs>
  <TotalTime>0</TotalTime>
  <ScaleCrop>false</ScaleCrop>
  <LinksUpToDate>false</LinksUpToDate>
  <CharactersWithSpaces>2098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2022-11-30T00:44:00Z</dcterms:created>
  <dc:creator>Windows 用户</dc:creator>
  <cp:lastModifiedBy>最爱舔酸奶盖</cp:lastModifiedBy>
  <cp:lastPrinted>2021-05-08T02:31:00Z</cp:lastPrinted>
  <dcterms:modified xsi:type="dcterms:W3CDTF">2022-12-26T07:27:29Z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7BC0D3B7C21442C28FB1E0C066531DAA</vt:lpwstr>
  </property>
</Properties>
</file>