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168" w:type="dxa"/>
        <w:tblInd w:w="-459" w:type="dxa"/>
        <w:shd w:val="clear" w:color="auto" w:fill="auto"/>
        <w:tblLayout w:type="fixed"/>
        <w:tblCellMar>
          <w:top w:w="0" w:type="dxa"/>
          <w:left w:w="108" w:type="dxa"/>
          <w:bottom w:w="0" w:type="dxa"/>
          <w:right w:w="108" w:type="dxa"/>
        </w:tblCellMar>
      </w:tblPr>
      <w:tblGrid>
        <w:gridCol w:w="567"/>
        <w:gridCol w:w="777"/>
        <w:gridCol w:w="1450"/>
        <w:gridCol w:w="1884"/>
        <w:gridCol w:w="756"/>
        <w:gridCol w:w="1155"/>
        <w:gridCol w:w="1170"/>
        <w:gridCol w:w="1155"/>
        <w:gridCol w:w="3986"/>
        <w:gridCol w:w="708"/>
        <w:gridCol w:w="1560"/>
      </w:tblGrid>
      <w:tr>
        <w:tblPrEx>
          <w:tblLayout w:type="fixed"/>
          <w:tblCellMar>
            <w:top w:w="0" w:type="dxa"/>
            <w:left w:w="108" w:type="dxa"/>
            <w:bottom w:w="0" w:type="dxa"/>
            <w:right w:w="108" w:type="dxa"/>
          </w:tblCellMar>
        </w:tblPrEx>
        <w:trPr>
          <w:trHeight w:val="420" w:hRule="atLeast"/>
          <w:tblHeader/>
        </w:trPr>
        <w:tc>
          <w:tcPr>
            <w:tcW w:w="15168" w:type="dxa"/>
            <w:gridSpan w:val="11"/>
            <w:tcBorders>
              <w:bottom w:val="single" w:color="auto" w:sz="4" w:space="0"/>
            </w:tcBorders>
            <w:shd w:val="clear" w:color="auto" w:fill="auto"/>
            <w:vAlign w:val="center"/>
          </w:tcPr>
          <w:p>
            <w:pPr>
              <w:widowControl/>
              <w:spacing w:line="460" w:lineRule="exact"/>
              <w:jc w:val="center"/>
              <w:rPr>
                <w:rFonts w:ascii="方正黑体_GBK" w:hAnsi="宋体" w:eastAsia="方正黑体_GBK" w:cs="宋体"/>
                <w:b/>
                <w:bCs/>
                <w:kern w:val="0"/>
                <w:sz w:val="22"/>
              </w:rPr>
            </w:pPr>
            <w:r>
              <w:rPr>
                <w:rFonts w:hint="eastAsia" w:ascii="方正小标宋_GBK" w:hAnsi="宋体" w:eastAsia="方正小标宋_GBK" w:cs="宋体"/>
                <w:kern w:val="0"/>
                <w:sz w:val="40"/>
                <w:szCs w:val="40"/>
                <w:lang w:eastAsia="zh-CN"/>
              </w:rPr>
              <w:t>禄劝县县</w:t>
            </w:r>
            <w:r>
              <w:rPr>
                <w:rFonts w:hint="eastAsia" w:ascii="方正小标宋_GBK" w:hAnsi="宋体" w:eastAsia="方正小标宋_GBK" w:cs="宋体"/>
                <w:kern w:val="0"/>
                <w:sz w:val="40"/>
                <w:szCs w:val="40"/>
              </w:rPr>
              <w:t>场监管领域随机抽查事项清单</w:t>
            </w:r>
            <w:r>
              <w:rPr>
                <w:rFonts w:hint="eastAsia" w:ascii="方正小标宋_GBK" w:hAnsi="宋体" w:eastAsia="方正小标宋_GBK" w:cs="宋体"/>
                <w:kern w:val="0"/>
                <w:sz w:val="40"/>
                <w:szCs w:val="40"/>
                <w:lang w:eastAsia="zh-CN"/>
              </w:rPr>
              <w:t>（第二版）</w:t>
            </w:r>
          </w:p>
        </w:tc>
      </w:tr>
      <w:tr>
        <w:tblPrEx>
          <w:tblLayout w:type="fixed"/>
          <w:tblCellMar>
            <w:top w:w="0" w:type="dxa"/>
            <w:left w:w="108" w:type="dxa"/>
            <w:bottom w:w="0" w:type="dxa"/>
            <w:right w:w="108" w:type="dxa"/>
          </w:tblCellMar>
        </w:tblPrEx>
        <w:trPr>
          <w:trHeight w:val="395" w:hRule="atLeast"/>
          <w:tblHead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序号</w:t>
            </w: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部门</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 xml:space="preserve">抽查项目 </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事项类别</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检查对象</w:t>
            </w:r>
          </w:p>
        </w:tc>
        <w:tc>
          <w:tcPr>
            <w:tcW w:w="11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检查方式</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检查主体</w:t>
            </w:r>
          </w:p>
        </w:tc>
        <w:tc>
          <w:tcPr>
            <w:tcW w:w="39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检查依据</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适用区域</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备注</w:t>
            </w:r>
          </w:p>
        </w:tc>
      </w:tr>
      <w:tr>
        <w:tblPrEx>
          <w:shd w:val="clear" w:color="auto" w:fill="auto"/>
          <w:tblLayout w:type="fixed"/>
          <w:tblCellMar>
            <w:top w:w="0" w:type="dxa"/>
            <w:left w:w="108" w:type="dxa"/>
            <w:bottom w:w="0" w:type="dxa"/>
            <w:right w:w="108" w:type="dxa"/>
          </w:tblCellMar>
        </w:tblPrEx>
        <w:trPr>
          <w:trHeight w:val="366" w:hRule="atLeast"/>
          <w:tblHead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抽查类别</w:t>
            </w:r>
          </w:p>
        </w:tc>
        <w:tc>
          <w:tcPr>
            <w:tcW w:w="1884"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抽查事项</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398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r>
      <w:tr>
        <w:tblPrEx>
          <w:tblLayout w:type="fixed"/>
          <w:tblCellMar>
            <w:top w:w="0" w:type="dxa"/>
            <w:left w:w="108" w:type="dxa"/>
            <w:bottom w:w="0" w:type="dxa"/>
            <w:right w:w="108" w:type="dxa"/>
          </w:tblCellMar>
        </w:tblPrEx>
        <w:trPr>
          <w:trHeight w:val="1497"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left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县</w:t>
            </w:r>
            <w:r>
              <w:rPr>
                <w:rFonts w:hint="eastAsia" w:cs="宋体" w:asciiTheme="minorEastAsia" w:hAnsiTheme="minorEastAsia"/>
                <w:kern w:val="0"/>
                <w:sz w:val="20"/>
                <w:szCs w:val="20"/>
                <w:lang w:val="en-US" w:eastAsia="zh-CN"/>
              </w:rPr>
              <w:t>科工信</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lang w:val="en-US" w:eastAsia="zh-CN"/>
              </w:rPr>
              <w:t>6</w:t>
            </w:r>
            <w:bookmarkStart w:id="0" w:name="_GoBack"/>
            <w:bookmarkEnd w:id="0"/>
            <w:r>
              <w:rPr>
                <w:rFonts w:hint="eastAsia" w:cs="宋体" w:asciiTheme="minorEastAsia" w:hAnsiTheme="minorEastAsia"/>
                <w:kern w:val="0"/>
                <w:sz w:val="20"/>
                <w:szCs w:val="20"/>
                <w:lang w:eastAsia="zh-CN"/>
              </w:rPr>
              <w:t>项）</w:t>
            </w: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工业企业节能监督检查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工业企业节能监督检查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lang w:eastAsia="zh-CN"/>
              </w:rPr>
              <w:t>县</w:t>
            </w:r>
            <w:r>
              <w:rPr>
                <w:rFonts w:hint="eastAsia" w:cs="宋体" w:asciiTheme="minorEastAsia" w:hAnsiTheme="minorEastAsia"/>
                <w:kern w:val="0"/>
                <w:sz w:val="20"/>
                <w:szCs w:val="20"/>
              </w:rPr>
              <w:t>级工信部门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《中华人民共和国节约能源法》；</w:t>
            </w:r>
          </w:p>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《工业节能管理办法》（国家工业和信息化部令第33号（2016年））相关条款</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kern w:val="0"/>
                <w:sz w:val="20"/>
                <w:szCs w:val="20"/>
              </w:rPr>
            </w:pPr>
            <w:r>
              <w:rPr>
                <w:rFonts w:hint="eastAsia" w:cs="宋体" w:asciiTheme="minorEastAsia" w:hAnsiTheme="minorEastAsia"/>
                <w:kern w:val="0"/>
                <w:sz w:val="20"/>
                <w:szCs w:val="20"/>
              </w:rPr>
              <w:t>全</w:t>
            </w:r>
            <w:r>
              <w:rPr>
                <w:rFonts w:hint="eastAsia" w:cs="宋体" w:asciiTheme="minorEastAsia" w:hAnsiTheme="minorEastAsia"/>
                <w:kern w:val="0"/>
                <w:sz w:val="20"/>
                <w:szCs w:val="20"/>
                <w:lang w:eastAsia="zh-CN"/>
              </w:rPr>
              <w:t>县</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县级监管</w:t>
            </w:r>
          </w:p>
        </w:tc>
      </w:tr>
      <w:tr>
        <w:tblPrEx>
          <w:tblLayout w:type="fixed"/>
          <w:tblCellMar>
            <w:top w:w="0" w:type="dxa"/>
            <w:left w:w="108" w:type="dxa"/>
            <w:bottom w:w="0" w:type="dxa"/>
            <w:right w:w="108" w:type="dxa"/>
          </w:tblCellMar>
        </w:tblPrEx>
        <w:trPr>
          <w:trHeight w:val="1372"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spacing w:line="240" w:lineRule="exact"/>
              <w:jc w:val="center"/>
              <w:rPr>
                <w:rFonts w:cs="宋体" w:asciiTheme="minorEastAsia" w:hAnsiTheme="minorEastAsia"/>
                <w:kern w:val="0"/>
                <w:sz w:val="20"/>
                <w:szCs w:val="20"/>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报废机动车回收企业的检查</w:t>
            </w:r>
          </w:p>
        </w:tc>
        <w:tc>
          <w:tcPr>
            <w:tcW w:w="1884"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报废机动车回收企业的检查</w:t>
            </w:r>
          </w:p>
        </w:tc>
        <w:tc>
          <w:tcPr>
            <w:tcW w:w="75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报废机动车回收企业</w:t>
            </w:r>
          </w:p>
        </w:tc>
        <w:tc>
          <w:tcPr>
            <w:tcW w:w="117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现场检查</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eastAsia="zh-CN"/>
              </w:rPr>
            </w:pPr>
            <w:r>
              <w:rPr>
                <w:rFonts w:hint="eastAsia" w:cs="宋体" w:asciiTheme="minorEastAsia" w:hAnsiTheme="minorEastAsia"/>
                <w:kern w:val="0"/>
                <w:sz w:val="20"/>
                <w:szCs w:val="20"/>
              </w:rPr>
              <w:t>县级工信部门</w:t>
            </w:r>
          </w:p>
        </w:tc>
        <w:tc>
          <w:tcPr>
            <w:tcW w:w="398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《报废机动车回收管理办法》第四条、第十六条</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全</w:t>
            </w:r>
            <w:r>
              <w:rPr>
                <w:rFonts w:hint="eastAsia" w:cs="宋体" w:asciiTheme="minorEastAsia" w:hAnsiTheme="minorEastAsia"/>
                <w:kern w:val="0"/>
                <w:sz w:val="20"/>
                <w:szCs w:val="20"/>
                <w:lang w:eastAsia="zh-CN"/>
              </w:rPr>
              <w:t>县</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eastAsia="zh-CN"/>
              </w:rPr>
            </w:pPr>
            <w:r>
              <w:rPr>
                <w:rFonts w:hint="eastAsia" w:cs="宋体" w:asciiTheme="minorEastAsia" w:hAnsiTheme="minorEastAsia"/>
                <w:kern w:val="0"/>
                <w:sz w:val="20"/>
                <w:szCs w:val="20"/>
              </w:rPr>
              <w:t>县级监管</w:t>
            </w:r>
          </w:p>
        </w:tc>
      </w:tr>
      <w:tr>
        <w:tblPrEx>
          <w:shd w:val="clear" w:color="auto" w:fill="auto"/>
          <w:tblLayout w:type="fixed"/>
          <w:tblCellMar>
            <w:top w:w="0" w:type="dxa"/>
            <w:left w:w="108" w:type="dxa"/>
            <w:bottom w:w="0" w:type="dxa"/>
            <w:right w:w="108" w:type="dxa"/>
          </w:tblCellMar>
        </w:tblPrEx>
        <w:trPr>
          <w:trHeight w:val="107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汽车销售及其相关服务活动检查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汽车销售行为合规检查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汽车销售经销商</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实地检查等</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县级以上商务主管部门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《汽车销售管理办法》（商务部令2017年第1号）第二十九条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b w:val="0"/>
                <w:bCs w:val="0"/>
                <w:i w:val="0"/>
                <w:color w:val="000000"/>
                <w:kern w:val="0"/>
                <w:sz w:val="20"/>
                <w:szCs w:val="20"/>
                <w:u w:val="none"/>
                <w:lang w:val="en-US" w:eastAsia="zh-CN" w:bidi="ar"/>
              </w:rPr>
            </w:pPr>
            <w:r>
              <w:rPr>
                <w:rFonts w:hint="eastAsia" w:cs="宋体" w:asciiTheme="minorEastAsia" w:hAnsiTheme="minorEastAsia"/>
                <w:b w:val="0"/>
                <w:bCs w:val="0"/>
                <w:kern w:val="0"/>
                <w:sz w:val="20"/>
                <w:szCs w:val="20"/>
                <w:lang w:eastAsia="zh-CN"/>
              </w:rPr>
              <w:t>全县</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b w:val="0"/>
                <w:bCs w:val="0"/>
                <w:color w:val="auto"/>
                <w:kern w:val="0"/>
                <w:sz w:val="20"/>
                <w:szCs w:val="20"/>
                <w:lang w:eastAsia="zh-CN"/>
              </w:rPr>
            </w:pPr>
            <w:r>
              <w:rPr>
                <w:rFonts w:hint="eastAsia" w:asciiTheme="minorEastAsia" w:hAnsiTheme="minorEastAsia" w:cstheme="minorEastAsia"/>
                <w:kern w:val="0"/>
                <w:sz w:val="20"/>
                <w:szCs w:val="20"/>
                <w:lang w:eastAsia="zh-CN"/>
              </w:rPr>
              <w:t>县级监管</w:t>
            </w:r>
          </w:p>
        </w:tc>
      </w:tr>
      <w:tr>
        <w:tblPrEx>
          <w:tblLayout w:type="fixed"/>
          <w:tblCellMar>
            <w:top w:w="0" w:type="dxa"/>
            <w:left w:w="108" w:type="dxa"/>
            <w:bottom w:w="0" w:type="dxa"/>
            <w:right w:w="108" w:type="dxa"/>
          </w:tblCellMar>
        </w:tblPrEx>
        <w:trPr>
          <w:trHeight w:val="78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tabs>
                <w:tab w:val="left" w:pos="0"/>
              </w:tabs>
              <w:ind w:left="425" w:hanging="425"/>
              <w:jc w:val="center"/>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二手车经营活动检查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二手车交易行为合规检查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二手车交易</w:t>
            </w:r>
            <w:r>
              <w:rPr>
                <w:rFonts w:hint="eastAsia" w:cs="宋体" w:asciiTheme="minorEastAsia" w:hAnsiTheme="minorEastAsia"/>
                <w:b w:val="0"/>
                <w:bCs w:val="0"/>
                <w:kern w:val="0"/>
                <w:sz w:val="20"/>
                <w:szCs w:val="20"/>
                <w:lang w:eastAsia="zh-CN"/>
              </w:rPr>
              <w:t>县</w:t>
            </w:r>
            <w:r>
              <w:rPr>
                <w:rFonts w:hint="eastAsia" w:cs="宋体" w:asciiTheme="minorEastAsia" w:hAnsiTheme="minorEastAsia"/>
                <w:b w:val="0"/>
                <w:bCs w:val="0"/>
                <w:kern w:val="0"/>
                <w:sz w:val="20"/>
                <w:szCs w:val="20"/>
              </w:rPr>
              <w:t>场、二手车经营主体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实地检查等</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各级商务、公安、</w:t>
            </w:r>
            <w:r>
              <w:rPr>
                <w:rFonts w:hint="eastAsia" w:cs="宋体" w:asciiTheme="minorEastAsia" w:hAnsiTheme="minorEastAsia"/>
                <w:b w:val="0"/>
                <w:bCs w:val="0"/>
                <w:kern w:val="0"/>
                <w:sz w:val="20"/>
                <w:szCs w:val="20"/>
                <w:lang w:eastAsia="zh-CN"/>
              </w:rPr>
              <w:t>市</w:t>
            </w:r>
            <w:r>
              <w:rPr>
                <w:rFonts w:hint="eastAsia" w:cs="宋体" w:asciiTheme="minorEastAsia" w:hAnsiTheme="minorEastAsia"/>
                <w:b w:val="0"/>
                <w:bCs w:val="0"/>
                <w:kern w:val="0"/>
                <w:sz w:val="20"/>
                <w:szCs w:val="20"/>
              </w:rPr>
              <w:t>场监管、税务部门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《二手车流通管理办法》（商务部、公安部、国家工商总局、国家税务总局二OO五年第2号令）第七条；</w:t>
            </w:r>
          </w:p>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《云南省商务厅 公安厅 工商局 国税局 地税局关于进一步贯彻〈二手车流通管理办法〉的实施意见》（云商</w:t>
            </w:r>
            <w:r>
              <w:rPr>
                <w:rFonts w:hint="eastAsia" w:cs="宋体" w:asciiTheme="minorEastAsia" w:hAnsiTheme="minorEastAsia"/>
                <w:b w:val="0"/>
                <w:bCs w:val="0"/>
                <w:kern w:val="0"/>
                <w:sz w:val="20"/>
                <w:szCs w:val="20"/>
                <w:lang w:eastAsia="zh-CN"/>
              </w:rPr>
              <w:t>县</w:t>
            </w:r>
            <w:r>
              <w:rPr>
                <w:rFonts w:hint="eastAsia" w:cs="宋体" w:asciiTheme="minorEastAsia" w:hAnsiTheme="minorEastAsia"/>
                <w:b w:val="0"/>
                <w:bCs w:val="0"/>
                <w:kern w:val="0"/>
                <w:sz w:val="20"/>
                <w:szCs w:val="20"/>
              </w:rPr>
              <w:t>〔2011〕178号）第一条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b w:val="0"/>
                <w:bCs w:val="0"/>
                <w:i w:val="0"/>
                <w:color w:val="000000"/>
                <w:kern w:val="0"/>
                <w:sz w:val="20"/>
                <w:szCs w:val="20"/>
                <w:u w:val="none"/>
                <w:lang w:val="en-US" w:eastAsia="zh-CN" w:bidi="ar"/>
              </w:rPr>
            </w:pPr>
            <w:r>
              <w:rPr>
                <w:rFonts w:hint="eastAsia" w:cs="宋体" w:asciiTheme="minorEastAsia" w:hAnsiTheme="minorEastAsia"/>
                <w:b w:val="0"/>
                <w:bCs w:val="0"/>
                <w:kern w:val="0"/>
                <w:sz w:val="20"/>
                <w:szCs w:val="20"/>
                <w:lang w:eastAsia="zh-CN"/>
              </w:rPr>
              <w:t>全县</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b w:val="0"/>
                <w:bCs w:val="0"/>
                <w:color w:val="auto"/>
                <w:kern w:val="0"/>
                <w:sz w:val="20"/>
                <w:szCs w:val="20"/>
                <w:lang w:eastAsia="zh-CN"/>
              </w:rPr>
            </w:pPr>
            <w:r>
              <w:rPr>
                <w:rFonts w:hint="eastAsia" w:asciiTheme="minorEastAsia" w:hAnsiTheme="minorEastAsia" w:cstheme="minorEastAsia"/>
                <w:kern w:val="0"/>
                <w:sz w:val="20"/>
                <w:szCs w:val="20"/>
                <w:lang w:eastAsia="zh-CN"/>
              </w:rPr>
              <w:t>县级监管</w:t>
            </w:r>
          </w:p>
        </w:tc>
      </w:tr>
      <w:tr>
        <w:tblPrEx>
          <w:shd w:val="clear" w:color="auto" w:fill="auto"/>
          <w:tblLayout w:type="fixed"/>
          <w:tblCellMar>
            <w:top w:w="0" w:type="dxa"/>
            <w:left w:w="108" w:type="dxa"/>
            <w:bottom w:w="0" w:type="dxa"/>
            <w:right w:w="108" w:type="dxa"/>
          </w:tblCellMar>
        </w:tblPrEx>
        <w:trPr>
          <w:trHeight w:val="663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县</w:t>
            </w:r>
            <w:r>
              <w:rPr>
                <w:rFonts w:hint="eastAsia" w:cs="宋体" w:asciiTheme="minorEastAsia" w:hAnsiTheme="minorEastAsia"/>
                <w:kern w:val="0"/>
                <w:sz w:val="20"/>
                <w:szCs w:val="20"/>
                <w:lang w:val="en-US" w:eastAsia="zh-CN"/>
              </w:rPr>
              <w:t>科工</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lang w:val="en-US" w:eastAsia="zh-CN"/>
              </w:rPr>
              <w:t>6</w:t>
            </w:r>
            <w:r>
              <w:rPr>
                <w:rFonts w:hint="eastAsia" w:cs="宋体" w:asciiTheme="minorEastAsia" w:hAnsiTheme="minorEastAsia"/>
                <w:kern w:val="0"/>
                <w:sz w:val="20"/>
                <w:szCs w:val="20"/>
                <w:lang w:eastAsia="zh-CN"/>
              </w:rPr>
              <w:t>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对对外劳务合作企业的检查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1.是否存在未依法取得对外劳务合作经营资格，从事对外劳务合作的行为；</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2.是否存在违规组织对外劳务的行为和违规安排随行管理人员的行为。</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3.是否依照《对外劳务合作管理条例》规定缴存或者补足备用金。</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4.是否存在（1）未安排劳务人员接受培训，组织劳务人员赴国外工作的行为；（2）未依照《对外劳务合作管理条例》规定为劳务人员购买在国外工作期间的人身意外伤害保险；（3）未依照《对外劳务合作管理条例》规定安排随行管理人员等行为。</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5.是否存在对外劳务合同违法的行为。</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6.是否履行备案等相关手续的行为。</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对外劳务合作企业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实地</w:t>
            </w:r>
            <w:r>
              <w:rPr>
                <w:rFonts w:hint="eastAsia" w:cs="宋体" w:asciiTheme="minorEastAsia" w:hAnsiTheme="minorEastAsia"/>
                <w:b w:val="0"/>
                <w:bCs w:val="0"/>
                <w:kern w:val="0"/>
                <w:sz w:val="20"/>
                <w:szCs w:val="20"/>
              </w:rPr>
              <w:br w:type="textWrapping"/>
            </w:r>
            <w:r>
              <w:rPr>
                <w:rFonts w:hint="eastAsia" w:cs="宋体" w:asciiTheme="minorEastAsia" w:hAnsiTheme="minorEastAsia"/>
                <w:b w:val="0"/>
                <w:bCs w:val="0"/>
                <w:kern w:val="0"/>
                <w:sz w:val="20"/>
                <w:szCs w:val="20"/>
              </w:rPr>
              <w:t>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县级以上商务主管部门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b w:val="0"/>
                <w:bCs w:val="0"/>
                <w:kern w:val="0"/>
                <w:sz w:val="20"/>
                <w:szCs w:val="20"/>
              </w:rPr>
            </w:pPr>
            <w:r>
              <w:rPr>
                <w:rFonts w:hint="eastAsia" w:cs="宋体" w:asciiTheme="minorEastAsia" w:hAnsiTheme="minorEastAsia"/>
                <w:b w:val="0"/>
                <w:bCs w:val="0"/>
                <w:kern w:val="0"/>
                <w:sz w:val="20"/>
                <w:szCs w:val="20"/>
              </w:rPr>
              <w:t>《对外劳务合作管理条例》（中华人民共和国国务院令第620号）第五章第三十九条、第四十条、第四十一条、四十二条、第四十三条第一款、第四十五条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b w:val="0"/>
                <w:bCs w:val="0"/>
                <w:i w:val="0"/>
                <w:color w:val="000000"/>
                <w:kern w:val="0"/>
                <w:sz w:val="20"/>
                <w:szCs w:val="20"/>
                <w:u w:val="none"/>
                <w:lang w:val="en-US" w:eastAsia="zh-CN" w:bidi="ar"/>
              </w:rPr>
            </w:pPr>
            <w:r>
              <w:rPr>
                <w:rFonts w:hint="eastAsia" w:cs="宋体" w:asciiTheme="minorEastAsia" w:hAnsiTheme="minorEastAsia"/>
                <w:b w:val="0"/>
                <w:bCs w:val="0"/>
                <w:kern w:val="0"/>
                <w:sz w:val="20"/>
                <w:szCs w:val="20"/>
                <w:lang w:eastAsia="zh-CN"/>
              </w:rPr>
              <w:t>全县</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b w:val="0"/>
                <w:bCs w:val="0"/>
                <w:color w:val="auto"/>
                <w:kern w:val="0"/>
                <w:sz w:val="20"/>
                <w:szCs w:val="20"/>
                <w:lang w:eastAsia="zh-CN"/>
              </w:rPr>
            </w:pPr>
            <w:r>
              <w:rPr>
                <w:rFonts w:hint="eastAsia" w:cs="宋体" w:asciiTheme="minorEastAsia" w:hAnsiTheme="minorEastAsia"/>
                <w:b w:val="0"/>
                <w:bCs w:val="0"/>
                <w:color w:val="auto"/>
                <w:kern w:val="0"/>
                <w:sz w:val="20"/>
                <w:szCs w:val="20"/>
                <w:lang w:eastAsia="zh-CN"/>
              </w:rPr>
              <w:t>县级监管</w:t>
            </w:r>
          </w:p>
        </w:tc>
      </w:tr>
      <w:tr>
        <w:tblPrEx>
          <w:tblLayout w:type="fixed"/>
          <w:tblCellMar>
            <w:top w:w="0" w:type="dxa"/>
            <w:left w:w="108" w:type="dxa"/>
            <w:bottom w:w="0" w:type="dxa"/>
            <w:right w:w="108" w:type="dxa"/>
          </w:tblCellMar>
        </w:tblPrEx>
        <w:trPr>
          <w:trHeight w:val="629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eastAsiaTheme="minorEastAsia"/>
                <w:kern w:val="0"/>
                <w:sz w:val="20"/>
                <w:szCs w:val="20"/>
                <w:lang w:eastAsia="zh-CN"/>
              </w:rPr>
            </w:pPr>
            <w:r>
              <w:rPr>
                <w:rFonts w:hint="eastAsia" w:cs="宋体" w:asciiTheme="minorEastAsia" w:hAnsiTheme="minorEastAsia"/>
                <w:kern w:val="0"/>
                <w:sz w:val="20"/>
                <w:szCs w:val="20"/>
                <w:lang w:eastAsia="zh-CN"/>
              </w:rPr>
              <w:t>县</w:t>
            </w:r>
            <w:r>
              <w:rPr>
                <w:rFonts w:hint="eastAsia" w:cs="宋体" w:asciiTheme="minorEastAsia" w:hAnsiTheme="minorEastAsia"/>
                <w:kern w:val="0"/>
                <w:sz w:val="20"/>
                <w:szCs w:val="20"/>
                <w:lang w:val="en-US" w:eastAsia="zh-CN"/>
              </w:rPr>
              <w:t>科工信</w:t>
            </w:r>
            <w:r>
              <w:rPr>
                <w:rFonts w:hint="eastAsia" w:cs="宋体" w:asciiTheme="minorEastAsia" w:hAnsiTheme="minorEastAsia"/>
                <w:kern w:val="0"/>
                <w:sz w:val="20"/>
                <w:szCs w:val="20"/>
                <w:lang w:eastAsia="zh-CN"/>
              </w:rPr>
              <w:t>局（</w:t>
            </w:r>
            <w:r>
              <w:rPr>
                <w:rFonts w:hint="eastAsia" w:cs="宋体" w:asciiTheme="minorEastAsia" w:hAnsiTheme="minorEastAsia"/>
                <w:kern w:val="0"/>
                <w:sz w:val="20"/>
                <w:szCs w:val="20"/>
                <w:lang w:val="en-US" w:eastAsia="zh-CN"/>
              </w:rPr>
              <w:t>6</w:t>
            </w:r>
            <w:r>
              <w:rPr>
                <w:rFonts w:hint="eastAsia" w:cs="宋体" w:asciiTheme="minorEastAsia" w:hAnsiTheme="minorEastAsia"/>
                <w:kern w:val="0"/>
                <w:sz w:val="20"/>
                <w:szCs w:val="20"/>
                <w:lang w:eastAsia="zh-CN"/>
              </w:rPr>
              <w:t>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对单用途商务预付卡发卡企业的检查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 xml:space="preserve">单用途商业预付卡发卡企业是否在开展单用途卡业务后按有关规定向其工商登记注册地人民政府商务主管部门备案； </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2.发卡企业是否履行发卡与服务相关义务；</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 xml:space="preserve">3.发卡企业是否违反资金管理的有关规定； </w:t>
            </w:r>
            <w:r>
              <w:rPr>
                <w:rFonts w:hint="eastAsia" w:cs="宋体" w:asciiTheme="minorEastAsia" w:hAnsiTheme="minorEastAsia"/>
                <w:kern w:val="0"/>
                <w:sz w:val="20"/>
                <w:szCs w:val="20"/>
              </w:rPr>
              <w:br w:type="textWrapping"/>
            </w:r>
            <w:r>
              <w:rPr>
                <w:rFonts w:hint="eastAsia" w:cs="宋体" w:asciiTheme="minorEastAsia" w:hAnsiTheme="minorEastAsia"/>
                <w:kern w:val="0"/>
                <w:sz w:val="20"/>
                <w:szCs w:val="20"/>
              </w:rPr>
              <w:t>4.发卡企业是否建立业务处理系统及履行技术故障报告义务。</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单用途商业预付卡发卡企业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实地检查、网络系统检查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县级以上商务主管部门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rPr>
              <w:t>《单用途商业预付卡管理办法（试行）》（商务部令2012年第9号）第二章第七条、第十二条；第三章第十四至二十二条；第四章第二十四条至二十七条、第二十九条、第三十一条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cs="宋体" w:asciiTheme="minorEastAsia" w:hAnsiTheme="minorEastAsia"/>
                <w:kern w:val="0"/>
                <w:sz w:val="20"/>
                <w:szCs w:val="20"/>
                <w:lang w:eastAsia="zh-CN"/>
              </w:rPr>
              <w:t>全县</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b w:val="0"/>
                <w:bCs w:val="0"/>
                <w:color w:val="auto"/>
                <w:kern w:val="0"/>
                <w:sz w:val="20"/>
                <w:szCs w:val="20"/>
                <w:lang w:eastAsia="zh-CN"/>
              </w:rPr>
            </w:pPr>
            <w:r>
              <w:rPr>
                <w:rFonts w:hint="eastAsia" w:cs="宋体" w:asciiTheme="minorEastAsia" w:hAnsiTheme="minorEastAsia"/>
                <w:b w:val="0"/>
                <w:bCs w:val="0"/>
                <w:color w:val="auto"/>
                <w:kern w:val="0"/>
                <w:sz w:val="20"/>
                <w:szCs w:val="20"/>
                <w:lang w:eastAsia="zh-CN"/>
              </w:rPr>
              <w:t>县级监管</w:t>
            </w:r>
          </w:p>
        </w:tc>
      </w:tr>
    </w:tbl>
    <w:p>
      <w:pPr>
        <w:rPr>
          <w:rFonts w:hint="eastAsia" w:eastAsiaTheme="minor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F0500000000000000"/>
    <w:charset w:val="86"/>
    <w:family w:val="script"/>
    <w:pitch w:val="default"/>
    <w:sig w:usb0="00000000" w:usb1="00000000" w:usb2="00000012"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F3ABB"/>
    <w:multiLevelType w:val="singleLevel"/>
    <w:tmpl w:val="60BF3ABB"/>
    <w:lvl w:ilvl="0" w:tentative="0">
      <w:start w:val="1"/>
      <w:numFmt w:val="decimal"/>
      <w:suff w:val="nothing"/>
      <w:lvlText w:val="%1"/>
      <w:lvlJc w:val="left"/>
      <w:pPr>
        <w:tabs>
          <w:tab w:val="left" w:pos="0"/>
        </w:tabs>
        <w:ind w:left="425" w:leftChars="0" w:hanging="425" w:firstLineChars="0"/>
      </w:pPr>
      <w:rPr>
        <w:rFonts w:hint="default"/>
      </w:rPr>
    </w:lvl>
  </w:abstractNum>
  <w:abstractNum w:abstractNumId="1">
    <w:nsid w:val="60F9237C"/>
    <w:multiLevelType w:val="singleLevel"/>
    <w:tmpl w:val="60F9237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74E1D"/>
    <w:rsid w:val="00DF73A1"/>
    <w:rsid w:val="06B524B5"/>
    <w:rsid w:val="06F72626"/>
    <w:rsid w:val="072A5185"/>
    <w:rsid w:val="087C359F"/>
    <w:rsid w:val="08CF4D2C"/>
    <w:rsid w:val="091E7FE8"/>
    <w:rsid w:val="097E282F"/>
    <w:rsid w:val="0CA17AE8"/>
    <w:rsid w:val="0CE57CAE"/>
    <w:rsid w:val="0D1F7B15"/>
    <w:rsid w:val="0DAC3EBF"/>
    <w:rsid w:val="0EFA6CD1"/>
    <w:rsid w:val="10B553BA"/>
    <w:rsid w:val="12512503"/>
    <w:rsid w:val="13A22B01"/>
    <w:rsid w:val="15072958"/>
    <w:rsid w:val="16DA6148"/>
    <w:rsid w:val="16E1658A"/>
    <w:rsid w:val="19BE2B70"/>
    <w:rsid w:val="1C726B5E"/>
    <w:rsid w:val="1CCA5B68"/>
    <w:rsid w:val="1E037161"/>
    <w:rsid w:val="1E472813"/>
    <w:rsid w:val="1EE27BB0"/>
    <w:rsid w:val="1FE5662E"/>
    <w:rsid w:val="204A438F"/>
    <w:rsid w:val="20514806"/>
    <w:rsid w:val="22F54909"/>
    <w:rsid w:val="24F75B19"/>
    <w:rsid w:val="27B64261"/>
    <w:rsid w:val="27F86A30"/>
    <w:rsid w:val="2A1735F2"/>
    <w:rsid w:val="2C4D3D85"/>
    <w:rsid w:val="2F241238"/>
    <w:rsid w:val="30172B95"/>
    <w:rsid w:val="32C7424B"/>
    <w:rsid w:val="342220D9"/>
    <w:rsid w:val="347D0917"/>
    <w:rsid w:val="350A68EF"/>
    <w:rsid w:val="356F053F"/>
    <w:rsid w:val="367A550F"/>
    <w:rsid w:val="36BB3F3F"/>
    <w:rsid w:val="36D1391D"/>
    <w:rsid w:val="38B706F6"/>
    <w:rsid w:val="39A17860"/>
    <w:rsid w:val="3A0B26A0"/>
    <w:rsid w:val="3A6F49C1"/>
    <w:rsid w:val="3B7128E6"/>
    <w:rsid w:val="3CDA5169"/>
    <w:rsid w:val="3FFC4616"/>
    <w:rsid w:val="40CC5087"/>
    <w:rsid w:val="43454A11"/>
    <w:rsid w:val="448C6608"/>
    <w:rsid w:val="465D1987"/>
    <w:rsid w:val="46970C78"/>
    <w:rsid w:val="474C3863"/>
    <w:rsid w:val="476A70BA"/>
    <w:rsid w:val="493779A8"/>
    <w:rsid w:val="49A921CC"/>
    <w:rsid w:val="49C97CA8"/>
    <w:rsid w:val="4ACD5994"/>
    <w:rsid w:val="4B681EE6"/>
    <w:rsid w:val="4C232830"/>
    <w:rsid w:val="4FDE4211"/>
    <w:rsid w:val="503373B0"/>
    <w:rsid w:val="51BD4229"/>
    <w:rsid w:val="53EA24C8"/>
    <w:rsid w:val="53EC7FBD"/>
    <w:rsid w:val="54C96185"/>
    <w:rsid w:val="54E14EA8"/>
    <w:rsid w:val="567B51B9"/>
    <w:rsid w:val="596C243F"/>
    <w:rsid w:val="5BBF7814"/>
    <w:rsid w:val="5C111F3E"/>
    <w:rsid w:val="5C2A42DC"/>
    <w:rsid w:val="5C3939BA"/>
    <w:rsid w:val="5C830A6D"/>
    <w:rsid w:val="5E0D731C"/>
    <w:rsid w:val="60560BE9"/>
    <w:rsid w:val="60C57968"/>
    <w:rsid w:val="63065889"/>
    <w:rsid w:val="632B3D56"/>
    <w:rsid w:val="642E1943"/>
    <w:rsid w:val="667C32DD"/>
    <w:rsid w:val="67247253"/>
    <w:rsid w:val="68766606"/>
    <w:rsid w:val="6931654F"/>
    <w:rsid w:val="6A374F7E"/>
    <w:rsid w:val="6C9B4444"/>
    <w:rsid w:val="6E4F04BB"/>
    <w:rsid w:val="712311CE"/>
    <w:rsid w:val="745A72EC"/>
    <w:rsid w:val="74753989"/>
    <w:rsid w:val="7515721C"/>
    <w:rsid w:val="75FC7ED6"/>
    <w:rsid w:val="7A503585"/>
    <w:rsid w:val="7D0A7420"/>
    <w:rsid w:val="7DC74E1D"/>
    <w:rsid w:val="7DF2015A"/>
    <w:rsid w:val="7E7E4E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方正仿宋_GBK" w:hAnsi="方正仿宋_GBK" w:eastAsia="方正仿宋_GBK" w:cs="方正仿宋_GBK"/>
      <w:kern w:val="0"/>
      <w:sz w:val="32"/>
      <w:szCs w:val="32"/>
      <w:lang w:val="zh-CN" w:bidi="zh-CN"/>
    </w:rPr>
  </w:style>
  <w:style w:type="character" w:customStyle="1" w:styleId="5">
    <w:name w:val="font41"/>
    <w:basedOn w:val="4"/>
    <w:qFormat/>
    <w:uiPriority w:val="0"/>
    <w:rPr>
      <w:rFonts w:hint="eastAsia" w:ascii="宋体" w:hAnsi="宋体" w:eastAsia="宋体" w:cs="宋体"/>
      <w:color w:val="000000"/>
      <w:sz w:val="20"/>
      <w:szCs w:val="20"/>
      <w:u w:val="none"/>
    </w:rPr>
  </w:style>
  <w:style w:type="character" w:customStyle="1" w:styleId="6">
    <w:name w:val="font9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2021-07-22T03:42:00Z</dcterms:created>
  <dc:creator>NTKO</dc:creator>
  <cp:lastModifiedBy>Lenovo</cp:lastModifiedBy>
  <dcterms:modified xsi:type="dcterms:W3CDTF">2022-09-21T03:34:38Z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