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禄劝县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val="en-US" w:eastAsia="zh-CN"/>
        </w:rPr>
        <w:t>2022年度财政局会计信息质量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领域随机抽查事项清单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（第二版）</w:t>
      </w:r>
    </w:p>
    <w:tbl>
      <w:tblPr>
        <w:tblStyle w:val="2"/>
        <w:tblW w:w="15417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12"/>
        <w:gridCol w:w="1191"/>
        <w:gridCol w:w="1710"/>
        <w:gridCol w:w="1740"/>
        <w:gridCol w:w="1665"/>
        <w:gridCol w:w="1665"/>
        <w:gridCol w:w="2709"/>
        <w:gridCol w:w="1296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类别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 xml:space="preserve">         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抽查事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项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会计凭证、会计账簿、财务会计报告和其他会计资料真实、完整检查。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《中华人民共和国会计法》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《财政部门实施会计监督办法》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会计核算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《中华人民共和国会计法》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《财政部门实施会计监督办法》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40BC"/>
    <w:rsid w:val="615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.</dc:creator>
  <cp:lastModifiedBy>.</cp:lastModifiedBy>
  <dcterms:modified xsi:type="dcterms:W3CDTF">2022-07-13T02:37:42Z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