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kern w:val="0"/>
          <w:sz w:val="40"/>
          <w:szCs w:val="40"/>
          <w:lang w:eastAsia="zh-CN"/>
        </w:rPr>
      </w:pPr>
      <w:r>
        <w:rPr>
          <w:rFonts w:hint="eastAsia" w:ascii="方正小标宋_GBK" w:hAnsi="宋体" w:eastAsia="方正小标宋_GBK" w:cs="宋体"/>
          <w:kern w:val="0"/>
          <w:sz w:val="40"/>
          <w:szCs w:val="40"/>
          <w:lang w:val="en-US" w:eastAsia="zh-CN"/>
        </w:rPr>
        <w:t>2021年</w:t>
      </w:r>
      <w:r>
        <w:rPr>
          <w:rFonts w:hint="eastAsia" w:ascii="方正小标宋_GBK" w:hAnsi="宋体" w:eastAsia="方正小标宋_GBK" w:cs="宋体"/>
          <w:kern w:val="0"/>
          <w:sz w:val="40"/>
          <w:szCs w:val="40"/>
          <w:lang w:eastAsia="zh-CN"/>
        </w:rPr>
        <w:t>禄劝彝族苗族自治县卫生健康局市场监管领域统一随机抽查事项清单</w:t>
      </w:r>
    </w:p>
    <w:tbl>
      <w:tblPr>
        <w:tblStyle w:val="2"/>
        <w:tblW w:w="15168" w:type="dxa"/>
        <w:tblInd w:w="-459" w:type="dxa"/>
        <w:tblLayout w:type="fixed"/>
        <w:tblCellMar>
          <w:top w:w="0" w:type="dxa"/>
          <w:left w:w="108" w:type="dxa"/>
          <w:bottom w:w="0" w:type="dxa"/>
          <w:right w:w="108" w:type="dxa"/>
        </w:tblCellMar>
      </w:tblPr>
      <w:tblGrid>
        <w:gridCol w:w="567"/>
        <w:gridCol w:w="777"/>
        <w:gridCol w:w="1208"/>
        <w:gridCol w:w="2126"/>
        <w:gridCol w:w="709"/>
        <w:gridCol w:w="1134"/>
        <w:gridCol w:w="850"/>
        <w:gridCol w:w="709"/>
        <w:gridCol w:w="4820"/>
        <w:gridCol w:w="708"/>
        <w:gridCol w:w="1560"/>
      </w:tblGrid>
      <w:tr>
        <w:tblPrEx>
          <w:tblCellMar>
            <w:top w:w="0" w:type="dxa"/>
            <w:left w:w="108" w:type="dxa"/>
            <w:bottom w:w="0" w:type="dxa"/>
            <w:right w:w="108" w:type="dxa"/>
          </w:tblCellMar>
        </w:tblPrEx>
        <w:trPr>
          <w:trHeight w:val="395" w:hRule="atLeast"/>
          <w:tblHead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34"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850"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709"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820"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403"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卫生健康委员会（10类10项）</w:t>
            </w: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消毒产品生产企业监督检查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辖区内消毒产品生产企业</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w:t>
            </w:r>
            <w:bookmarkStart w:id="0" w:name="_GoBack"/>
            <w:bookmarkEnd w:id="0"/>
            <w:r>
              <w:rPr>
                <w:rFonts w:hint="eastAsia" w:ascii="宋体" w:hAnsi="宋体" w:cs="宋体"/>
                <w:kern w:val="0"/>
                <w:sz w:val="20"/>
                <w:szCs w:val="20"/>
              </w:rPr>
              <w:t>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《消毒管理办法》（2017年12月修订）第三十六条。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3147"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restart"/>
            <w:tcBorders>
              <w:top w:val="nil"/>
              <w:left w:val="single" w:color="auto" w:sz="4" w:space="0"/>
              <w:right w:val="single" w:color="auto" w:sz="4" w:space="0"/>
            </w:tcBorders>
            <w:shd w:val="clear" w:color="auto" w:fill="auto"/>
            <w:noWrap w:val="0"/>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卫生健康委员会（10类10项）</w:t>
            </w: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涉及饮用水卫生安全产品监督检查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市</w:t>
            </w:r>
            <w:r>
              <w:rPr>
                <w:rFonts w:hint="eastAsia" w:ascii="宋体" w:hAnsi="宋体" w:cs="宋体"/>
                <w:kern w:val="0"/>
                <w:sz w:val="20"/>
                <w:szCs w:val="20"/>
              </w:rPr>
              <w:t xml:space="preserve">辖区内涉及饮用水卫生安全产品生产企业 </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《生活饮用水卫生监督管理办法》（2016年修订）第二条、第三条第一款、第二十三条。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2241"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20"/>
                <w:szCs w:val="20"/>
              </w:rPr>
            </w:pP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学校卫生监督检查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辖区内学校</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第五十三条第一款第四项；</w:t>
            </w:r>
            <w:r>
              <w:rPr>
                <w:rFonts w:hint="eastAsia" w:ascii="宋体" w:hAnsi="宋体" w:cs="宋体"/>
                <w:kern w:val="0"/>
                <w:sz w:val="20"/>
                <w:szCs w:val="20"/>
              </w:rPr>
              <w:br w:type="textWrapping"/>
            </w:r>
            <w:r>
              <w:rPr>
                <w:rFonts w:hint="eastAsia" w:ascii="宋体" w:hAnsi="宋体" w:cs="宋体"/>
                <w:kern w:val="0"/>
                <w:sz w:val="20"/>
                <w:szCs w:val="20"/>
              </w:rPr>
              <w:t>《生活饮用水卫生监督管理办法》（2016年修订）第二条、三条第一款、十六条、二十三条；</w:t>
            </w:r>
            <w:r>
              <w:rPr>
                <w:rFonts w:hint="eastAsia" w:ascii="宋体" w:hAnsi="宋体" w:cs="宋体"/>
                <w:kern w:val="0"/>
                <w:sz w:val="20"/>
                <w:szCs w:val="20"/>
              </w:rPr>
              <w:br w:type="textWrapping"/>
            </w:r>
            <w:r>
              <w:rPr>
                <w:rFonts w:hint="eastAsia" w:ascii="宋体" w:hAnsi="宋体" w:cs="宋体"/>
                <w:kern w:val="0"/>
                <w:sz w:val="20"/>
                <w:szCs w:val="20"/>
              </w:rPr>
              <w:t>《学校卫生工作条例》第二十八条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2112"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公共场所卫生监督检查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辖区内公共场所</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第五十三条第一款第六项；</w:t>
            </w:r>
            <w:r>
              <w:rPr>
                <w:rFonts w:hint="eastAsia" w:ascii="宋体" w:hAnsi="宋体" w:cs="宋体"/>
                <w:kern w:val="0"/>
                <w:sz w:val="20"/>
                <w:szCs w:val="20"/>
              </w:rPr>
              <w:br w:type="textWrapping"/>
            </w:r>
            <w:r>
              <w:rPr>
                <w:rFonts w:hint="eastAsia" w:ascii="宋体" w:hAnsi="宋体" w:cs="宋体"/>
                <w:kern w:val="0"/>
                <w:sz w:val="20"/>
                <w:szCs w:val="20"/>
              </w:rPr>
              <w:t>《公共场所卫生管理条例》（2019年修订）第十三条；</w:t>
            </w:r>
            <w:r>
              <w:rPr>
                <w:rFonts w:hint="eastAsia" w:ascii="宋体" w:hAnsi="宋体" w:cs="宋体"/>
                <w:kern w:val="0"/>
                <w:sz w:val="20"/>
                <w:szCs w:val="20"/>
              </w:rPr>
              <w:br w:type="textWrapping"/>
            </w:r>
            <w:r>
              <w:rPr>
                <w:rFonts w:hint="eastAsia" w:ascii="宋体" w:hAnsi="宋体" w:cs="宋体"/>
                <w:kern w:val="0"/>
                <w:sz w:val="20"/>
                <w:szCs w:val="20"/>
              </w:rPr>
              <w:t>《公共场所卫生管理条例实施细则》（2017年12月修订）第二十九条、三十一条。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2567"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restart"/>
            <w:tcBorders>
              <w:top w:val="nil"/>
              <w:left w:val="single" w:color="auto" w:sz="4" w:space="0"/>
              <w:right w:val="single" w:color="auto" w:sz="4" w:space="0"/>
            </w:tcBorders>
            <w:shd w:val="clear" w:color="auto" w:fill="auto"/>
            <w:noWrap w:val="0"/>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卫生健康委员会（10类10项）</w:t>
            </w: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传染病防治监督检查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r>
              <w:rPr>
                <w:rFonts w:hint="eastAsia" w:ascii="宋体" w:hAnsi="宋体" w:cs="宋体"/>
                <w:kern w:val="0"/>
                <w:sz w:val="20"/>
                <w:szCs w:val="20"/>
              </w:rPr>
              <w:br w:type="textWrapping"/>
            </w:r>
            <w:r>
              <w:rPr>
                <w:rFonts w:hint="eastAsia" w:ascii="宋体" w:hAnsi="宋体" w:cs="宋体"/>
                <w:kern w:val="0"/>
                <w:sz w:val="20"/>
                <w:szCs w:val="20"/>
              </w:rPr>
              <w:t>书面检查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《疫苗流通和预防接种管理条例》第五十条；</w:t>
            </w:r>
            <w:r>
              <w:rPr>
                <w:rFonts w:hint="eastAsia" w:ascii="宋体" w:hAnsi="宋体" w:cs="宋体"/>
                <w:kern w:val="0"/>
                <w:sz w:val="20"/>
                <w:szCs w:val="20"/>
              </w:rPr>
              <w:br w:type="textWrapping"/>
            </w:r>
            <w:r>
              <w:rPr>
                <w:rFonts w:hint="eastAsia" w:ascii="宋体" w:hAnsi="宋体" w:cs="宋体"/>
                <w:kern w:val="0"/>
                <w:sz w:val="20"/>
                <w:szCs w:val="20"/>
              </w:rPr>
              <w:t>《突发公共卫生事件与传染病疫情监测信息报告管理办法》第三十三条；</w:t>
            </w:r>
            <w:r>
              <w:rPr>
                <w:rFonts w:hint="eastAsia" w:ascii="宋体" w:hAnsi="宋体" w:cs="宋体"/>
                <w:kern w:val="0"/>
                <w:sz w:val="20"/>
                <w:szCs w:val="20"/>
              </w:rPr>
              <w:br w:type="textWrapping"/>
            </w:r>
            <w:r>
              <w:rPr>
                <w:rFonts w:hint="eastAsia" w:ascii="宋体" w:hAnsi="宋体" w:cs="宋体"/>
                <w:kern w:val="0"/>
                <w:sz w:val="20"/>
                <w:szCs w:val="20"/>
              </w:rPr>
              <w:t>《病原微生物实验室生物安全管理条例》（2018年3月修改）第四十九条；</w:t>
            </w:r>
            <w:r>
              <w:rPr>
                <w:rFonts w:hint="eastAsia" w:ascii="宋体" w:hAnsi="宋体" w:cs="宋体"/>
                <w:kern w:val="0"/>
                <w:sz w:val="20"/>
                <w:szCs w:val="20"/>
              </w:rPr>
              <w:br w:type="textWrapping"/>
            </w:r>
            <w:r>
              <w:rPr>
                <w:rFonts w:hint="eastAsia" w:ascii="宋体" w:hAnsi="宋体" w:cs="宋体"/>
                <w:kern w:val="0"/>
                <w:sz w:val="20"/>
                <w:szCs w:val="20"/>
              </w:rPr>
              <w:t>《医疗卫生机构医疗废物管理办法》第三十三条、三十四条；</w:t>
            </w:r>
            <w:r>
              <w:rPr>
                <w:rFonts w:hint="eastAsia" w:ascii="宋体" w:hAnsi="宋体" w:cs="宋体"/>
                <w:kern w:val="0"/>
                <w:sz w:val="20"/>
                <w:szCs w:val="20"/>
              </w:rPr>
              <w:br w:type="textWrapping"/>
            </w:r>
            <w:r>
              <w:rPr>
                <w:rFonts w:hint="eastAsia" w:ascii="宋体" w:hAnsi="宋体" w:cs="宋体"/>
                <w:kern w:val="0"/>
                <w:sz w:val="20"/>
                <w:szCs w:val="20"/>
              </w:rPr>
              <w:t>《医疗废物管理条例》第三十四条、三十五条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1821"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continue"/>
            <w:tcBorders>
              <w:left w:val="single" w:color="auto" w:sz="4" w:space="0"/>
              <w:right w:val="single" w:color="auto" w:sz="4" w:space="0"/>
            </w:tcBorders>
            <w:shd w:val="clear" w:color="auto" w:fill="auto"/>
            <w:noWrap w:val="0"/>
            <w:vAlign w:val="center"/>
          </w:tcPr>
          <w:p>
            <w:pPr>
              <w:spacing w:line="240" w:lineRule="exact"/>
              <w:jc w:val="center"/>
              <w:rPr>
                <w:rFonts w:ascii="宋体" w:hAnsi="宋体" w:cs="宋体"/>
                <w:kern w:val="0"/>
                <w:sz w:val="20"/>
                <w:szCs w:val="20"/>
              </w:rPr>
            </w:pP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医疗卫生监督检查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第五十三条第一款第二项；《医疗机构管理条例》（国务院令第149号）第四十条；</w:t>
            </w:r>
            <w:r>
              <w:rPr>
                <w:rFonts w:hint="eastAsia" w:ascii="宋体" w:hAnsi="宋体" w:cs="宋体"/>
                <w:kern w:val="0"/>
                <w:sz w:val="20"/>
                <w:szCs w:val="20"/>
              </w:rPr>
              <w:br w:type="textWrapping"/>
            </w:r>
            <w:r>
              <w:rPr>
                <w:rFonts w:hint="eastAsia" w:ascii="宋体" w:hAnsi="宋体" w:cs="宋体"/>
                <w:kern w:val="0"/>
                <w:sz w:val="20"/>
                <w:szCs w:val="20"/>
              </w:rPr>
              <w:t>《医疗机构管理条例实施细则》第七十条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2840"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20"/>
                <w:szCs w:val="20"/>
              </w:rPr>
            </w:pP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采供血机构监督检查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辖区内采供血机构</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2296"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卫生健康委员会（10类10项）</w:t>
            </w: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放射诊疗机构监督检查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辖区内放射诊疗机构</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《放射诊疗管理规定》2016(修订）第三十四条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522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20"/>
                <w:szCs w:val="20"/>
              </w:rPr>
            </w:pPr>
          </w:p>
        </w:tc>
        <w:tc>
          <w:tcPr>
            <w:tcW w:w="12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职业健康检查、职业病诊断机构监督检查</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ascii="宋体" w:hAnsi="宋体" w:cs="宋体"/>
                <w:kern w:val="0"/>
                <w:sz w:val="18"/>
                <w:szCs w:val="18"/>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辖区内职业病健康检查机构、职业病诊断机构、职业病鉴定办事机构</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r>
        <w:tblPrEx>
          <w:tblCellMar>
            <w:top w:w="0" w:type="dxa"/>
            <w:left w:w="108" w:type="dxa"/>
            <w:bottom w:w="0" w:type="dxa"/>
            <w:right w:w="108" w:type="dxa"/>
          </w:tblCellMar>
        </w:tblPrEx>
        <w:trPr>
          <w:trHeight w:val="3005"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numPr>
                <w:ilvl w:val="0"/>
                <w:numId w:val="1"/>
              </w:numPr>
              <w:ind w:left="425" w:hanging="425"/>
              <w:jc w:val="center"/>
              <w:rPr>
                <w:rFonts w:ascii="宋体" w:hAnsi="宋体" w:cs="宋体"/>
                <w:color w:val="000000"/>
                <w:sz w:val="20"/>
                <w:szCs w:val="20"/>
              </w:rPr>
            </w:pPr>
          </w:p>
        </w:tc>
        <w:tc>
          <w:tcPr>
            <w:tcW w:w="7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卫生健康委员会（10类10项）</w:t>
            </w:r>
          </w:p>
        </w:tc>
        <w:tc>
          <w:tcPr>
            <w:tcW w:w="120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母婴保健、计划生育技术服务机构监督检查</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辖区内母婴保健技术服务机构</w:t>
            </w:r>
          </w:p>
        </w:tc>
        <w:tc>
          <w:tcPr>
            <w:tcW w:w="8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实地检查</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健康行政部门</w:t>
            </w:r>
          </w:p>
        </w:tc>
        <w:tc>
          <w:tcPr>
            <w:tcW w:w="48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《计划生育技术服务管理条例实施细则》第四十条；</w:t>
            </w:r>
            <w:r>
              <w:rPr>
                <w:rFonts w:hint="eastAsia" w:ascii="宋体" w:hAnsi="宋体" w:cs="宋体"/>
                <w:kern w:val="0"/>
                <w:sz w:val="20"/>
                <w:szCs w:val="20"/>
              </w:rPr>
              <w:br w:type="textWrapping"/>
            </w:r>
            <w:r>
              <w:rPr>
                <w:rFonts w:hint="eastAsia" w:ascii="宋体" w:hAnsi="宋体" w:cs="宋体"/>
                <w:kern w:val="0"/>
                <w:sz w:val="20"/>
                <w:szCs w:val="20"/>
              </w:rPr>
              <w:t>《中华人民共和国母婴保健法实施办法》第三十四条</w:t>
            </w:r>
          </w:p>
        </w:tc>
        <w:tc>
          <w:tcPr>
            <w:tcW w:w="708"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普遍适用</w:t>
            </w:r>
          </w:p>
        </w:tc>
        <w:tc>
          <w:tcPr>
            <w:tcW w:w="1560" w:type="dxa"/>
            <w:tcBorders>
              <w:top w:val="nil"/>
              <w:left w:val="nil"/>
              <w:bottom w:val="single" w:color="auto" w:sz="4" w:space="0"/>
              <w:right w:val="single" w:color="auto" w:sz="4" w:space="0"/>
            </w:tcBorders>
            <w:shd w:val="clear" w:color="000000" w:fill="FFFFFF"/>
            <w:noWrap w:val="0"/>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lang w:eastAsia="zh-CN"/>
              </w:rPr>
              <w:t>市、县两级卫生</w:t>
            </w:r>
            <w:r>
              <w:rPr>
                <w:rFonts w:hint="eastAsia" w:ascii="宋体" w:hAnsi="宋体" w:cs="宋体"/>
                <w:kern w:val="0"/>
                <w:sz w:val="20"/>
                <w:szCs w:val="20"/>
              </w:rPr>
              <w:t>监督机构</w:t>
            </w:r>
          </w:p>
        </w:tc>
      </w:tr>
    </w:tbl>
    <w:p>
      <w:pPr>
        <w:rPr>
          <w:rFonts w:hint="eastAsia" w:ascii="方正小标宋_GBK" w:hAnsi="宋体" w:eastAsia="方正小标宋_GBK" w:cs="宋体"/>
          <w:kern w:val="0"/>
          <w:sz w:val="40"/>
          <w:szCs w:val="40"/>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CF5332"/>
    <w:rsid w:val="0D9A4E2A"/>
    <w:rsid w:val="7BD9188B"/>
    <w:rsid w:val="7EC166B1"/>
    <w:rsid w:val="AF7D92F1"/>
    <w:rsid w:val="CBCF5332"/>
    <w:rsid w:val="E7FF1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2021-07-17T03:16:00Z</dcterms:created>
  <dc:creator>user</dc:creator>
  <cp:lastModifiedBy>　　　末_。</cp:lastModifiedBy>
  <dcterms:modified xsi:type="dcterms:W3CDTF">2022-06-02T00:28:47Z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2BC51F0783A240ADB54D5DDCAB42F10A</vt:lpwstr>
  </property>
</Properties>
</file>