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tbl>
      <w:tblPr>
        <w:tblStyle w:val="2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2021年度禄劝县财政局代理记账领域部门联合抽查事项清单（第二版）</w:t>
            </w:r>
          </w:p>
        </w:tc>
      </w:tr>
    </w:tbl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55"/>
        <w:gridCol w:w="2572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6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抽查领域</w:t>
            </w:r>
          </w:p>
        </w:tc>
        <w:tc>
          <w:tcPr>
            <w:tcW w:w="257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抽查事项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检查对象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发起部门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配合部门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代理记账机构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1.代理记账机构的基本情况；      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</w:rPr>
              <w:t>代理记账机构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禄劝县财政局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禄劝县市场监督管理局</w:t>
            </w:r>
          </w:p>
        </w:tc>
        <w:tc>
          <w:tcPr>
            <w:tcW w:w="2025" w:type="dxa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2.代理记账机构收入等情况；</w:t>
            </w: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3.代理记账机构从事代理记账业务情况； </w:t>
            </w: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国家税务总局禄劝县税务局</w:t>
            </w: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4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6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57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4.代理记账机构登记事项和公示信息；</w:t>
            </w: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65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57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5.代理记账机构报税人员和零申报执行国家税收政策情况</w:t>
            </w: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12B7C9D-C6B5-45BB-B726-A6D36FA1E9BC}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  <w:embedRegular r:id="rId2" w:fontKey="{6428076A-5BA5-470B-8FF5-127303C7696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EAD44DB-8C97-4686-9B21-169180469E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MjdhYWEwMTMyNjA4OTYyZDc4YzIwOTUzMDNjYzAifQ=="/>
  </w:docVars>
  <w:rsids>
    <w:rsidRoot w:val="35982A70"/>
    <w:rsid w:val="031A7240"/>
    <w:rsid w:val="0BFD6401"/>
    <w:rsid w:val="182F7FAF"/>
    <w:rsid w:val="2ED01289"/>
    <w:rsid w:val="35982A70"/>
    <w:rsid w:val="4D217D2B"/>
    <w:rsid w:val="593A34BD"/>
    <w:rsid w:val="5D737C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昆明市禄劝县党政机关单位</Company>
  <Pages>1</Pages>
  <Words>151</Words>
  <Characters>154</Characters>
  <Lines>0</Lines>
  <Paragraphs>0</Paragraphs>
  <TotalTime>22</TotalTime>
  <ScaleCrop>false</ScaleCrop>
  <LinksUpToDate>false</LinksUpToDate>
  <CharactersWithSpaces>163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2021-12-09T01:44:00Z</dcterms:created>
  <dc:creator>Administrator</dc:creator>
  <cp:lastModifiedBy>TT</cp:lastModifiedBy>
  <dcterms:modified xsi:type="dcterms:W3CDTF">2022-06-01T01:17:30Z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FCBC20DA47274BFEBAC2FE83B2E7538C</vt:lpwstr>
  </property>
</Properties>
</file>