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ascii="方正小标宋简体" w:hAnsi="华文中宋" w:eastAsia="方正小标宋简体"/>
          <w:spacing w:val="14"/>
          <w:sz w:val="36"/>
          <w:szCs w:val="36"/>
        </w:rPr>
      </w:pPr>
      <w:r>
        <w:rPr>
          <w:rFonts w:hint="eastAsia" w:ascii="方正小标宋简体" w:eastAsia="方正小标宋简体"/>
          <w:kern w:val="0"/>
          <w:sz w:val="36"/>
          <w:szCs w:val="36"/>
          <w:lang w:eastAsia="zh-CN"/>
        </w:rPr>
        <w:t>禄劝彝族苗族自治县医疗保障局</w:t>
      </w:r>
      <w:r>
        <w:rPr>
          <w:rFonts w:hint="eastAsia" w:ascii="方正小标宋简体" w:eastAsia="方正小标宋简体"/>
          <w:sz w:val="36"/>
          <w:szCs w:val="36"/>
        </w:rPr>
        <w:t>部门</w:t>
      </w:r>
      <w:r>
        <w:rPr>
          <w:rFonts w:hint="eastAsia" w:ascii="方正小标宋简体" w:eastAsia="方正小标宋简体"/>
          <w:sz w:val="36"/>
          <w:szCs w:val="36"/>
          <w:lang w:val="en-US" w:eastAsia="zh-CN"/>
        </w:rPr>
        <w:t>2020</w:t>
      </w:r>
      <w:r>
        <w:rPr>
          <w:rFonts w:hint="eastAsia" w:ascii="方正小标宋简体" w:eastAsia="方正小标宋简体"/>
          <w:sz w:val="36"/>
          <w:szCs w:val="36"/>
        </w:rPr>
        <w:t>年</w:t>
      </w:r>
      <w:r>
        <w:rPr>
          <w:rFonts w:hint="eastAsia" w:ascii="方正小标宋简体" w:hAnsi="华文中宋" w:eastAsia="方正小标宋简体"/>
          <w:spacing w:val="14"/>
          <w:sz w:val="36"/>
          <w:szCs w:val="36"/>
          <w:lang w:val="en-US" w:eastAsia="zh-CN"/>
        </w:rPr>
        <w:t>大病救助</w:t>
      </w:r>
      <w:r>
        <w:rPr>
          <w:rFonts w:hint="eastAsia" w:ascii="方正小标宋简体" w:hAnsi="华文中宋" w:eastAsia="方正小标宋简体"/>
          <w:spacing w:val="14"/>
          <w:sz w:val="36"/>
          <w:szCs w:val="36"/>
        </w:rPr>
        <w:t>项目</w:t>
      </w:r>
    </w:p>
    <w:p>
      <w:pPr>
        <w:snapToGrid w:val="0"/>
        <w:spacing w:line="570" w:lineRule="exact"/>
        <w:jc w:val="center"/>
        <w:rPr>
          <w:rFonts w:ascii="方正小标宋简体" w:hAnsi="华文中宋" w:eastAsia="方正小标宋简体"/>
          <w:spacing w:val="14"/>
          <w:sz w:val="44"/>
          <w:szCs w:val="44"/>
        </w:rPr>
      </w:pPr>
    </w:p>
    <w:p>
      <w:pPr>
        <w:widowControl/>
        <w:numPr>
          <w:ilvl w:val="0"/>
          <w:numId w:val="1"/>
        </w:numPr>
        <w:ind w:firstLine="600" w:firstLineChars="200"/>
        <w:jc w:val="both"/>
        <w:rPr>
          <w:rFonts w:ascii="黑体" w:hAnsi="黑体" w:eastAsia="黑体"/>
          <w:kern w:val="0"/>
          <w:sz w:val="30"/>
          <w:szCs w:val="30"/>
        </w:rPr>
      </w:pPr>
      <w:r>
        <w:rPr>
          <w:rFonts w:hint="eastAsia" w:ascii="黑体" w:hAnsi="黑体" w:eastAsia="黑体"/>
          <w:kern w:val="0"/>
          <w:sz w:val="30"/>
          <w:szCs w:val="30"/>
        </w:rPr>
        <w:t>项目名称</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lang w:val="en-US" w:eastAsia="zh-CN"/>
        </w:rPr>
        <w:t>农村居民大病医疗救助项目</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立项依据</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lang w:val="en-US" w:eastAsia="zh-CN"/>
        </w:rPr>
        <w:t>为进一步完善我县农村居民大病医疗保障制度，健全多层次医疗保障体系，提高大病医疗保障水平，有效缓解我县农村困难居民因患大病致贫、返贫问题。根据《昆明市财政局、昆明市民政局关于印发昆明市重特大疾病医疗救助基金管理暫行办法的通知》(昆财社[2016]108号)要求，结合我县实际，制定本方案。</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项目实施单位</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eastAsia="仿宋_GB2312"/>
          <w:kern w:val="0"/>
          <w:sz w:val="30"/>
          <w:szCs w:val="30"/>
        </w:rPr>
      </w:pPr>
      <w:r>
        <w:rPr>
          <w:rFonts w:hint="eastAsia" w:eastAsia="仿宋_GB2312"/>
          <w:kern w:val="0"/>
          <w:sz w:val="30"/>
          <w:szCs w:val="30"/>
        </w:rPr>
        <w:t>单位名称：</w:t>
      </w:r>
      <w:r>
        <w:rPr>
          <w:rFonts w:hint="eastAsia" w:eastAsia="仿宋_GB2312"/>
          <w:kern w:val="0"/>
          <w:sz w:val="30"/>
          <w:szCs w:val="30"/>
          <w:lang w:eastAsia="zh-CN"/>
        </w:rPr>
        <w:t>禄劝彝族苗族自治县医疗保障局</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eastAsia="仿宋_GB2312"/>
          <w:kern w:val="0"/>
          <w:sz w:val="30"/>
          <w:szCs w:val="30"/>
        </w:rPr>
      </w:pPr>
      <w:r>
        <w:rPr>
          <w:rFonts w:hint="eastAsia" w:eastAsia="仿宋_GB2312"/>
          <w:kern w:val="0"/>
          <w:sz w:val="30"/>
          <w:szCs w:val="30"/>
        </w:rPr>
        <w:t>组织机构代码：</w:t>
      </w:r>
      <w:r>
        <w:rPr>
          <w:rFonts w:hint="eastAsia" w:eastAsia="仿宋_GB2312"/>
          <w:kern w:val="0"/>
          <w:sz w:val="30"/>
          <w:szCs w:val="30"/>
          <w:lang w:val="en-US" w:eastAsia="zh-CN"/>
        </w:rPr>
        <w:t>11530128MB1934382P</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eastAsia="仿宋_GB2312"/>
          <w:kern w:val="0"/>
          <w:sz w:val="30"/>
          <w:szCs w:val="30"/>
        </w:rPr>
      </w:pPr>
      <w:r>
        <w:rPr>
          <w:rFonts w:hint="eastAsia" w:eastAsia="仿宋_GB2312"/>
          <w:kern w:val="0"/>
          <w:sz w:val="30"/>
          <w:szCs w:val="30"/>
        </w:rPr>
        <w:t>地址：</w:t>
      </w:r>
      <w:r>
        <w:rPr>
          <w:rFonts w:hint="eastAsia" w:eastAsia="仿宋_GB2312"/>
          <w:kern w:val="0"/>
          <w:sz w:val="30"/>
          <w:szCs w:val="30"/>
          <w:lang w:eastAsia="zh-CN"/>
        </w:rPr>
        <w:t>禄劝彝族苗族自治县秀屏路</w:t>
      </w:r>
      <w:r>
        <w:rPr>
          <w:rFonts w:hint="eastAsia" w:eastAsia="仿宋_GB2312"/>
          <w:kern w:val="0"/>
          <w:sz w:val="30"/>
          <w:szCs w:val="30"/>
          <w:lang w:val="en-US" w:eastAsia="zh-CN"/>
        </w:rPr>
        <w:t>81号</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rPr>
        <w:t>联系电话：</w:t>
      </w:r>
      <w:r>
        <w:rPr>
          <w:rFonts w:hint="eastAsia" w:eastAsia="仿宋_GB2312"/>
          <w:kern w:val="0"/>
          <w:sz w:val="30"/>
          <w:szCs w:val="30"/>
          <w:lang w:val="en-US" w:eastAsia="zh-CN"/>
        </w:rPr>
        <w:t>66392430</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rPr>
        <w:t>法人代表：</w:t>
      </w:r>
      <w:r>
        <w:rPr>
          <w:rFonts w:hint="eastAsia" w:eastAsia="仿宋_GB2312"/>
          <w:kern w:val="0"/>
          <w:sz w:val="30"/>
          <w:szCs w:val="30"/>
          <w:lang w:val="en-US" w:eastAsia="zh-CN"/>
        </w:rPr>
        <w:t>蒋学云</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eastAsia="仿宋_GB2312"/>
          <w:kern w:val="0"/>
          <w:sz w:val="30"/>
          <w:szCs w:val="30"/>
          <w:lang w:val="en-US" w:eastAsia="zh-CN"/>
        </w:rPr>
      </w:pPr>
      <w:r>
        <w:rPr>
          <w:rFonts w:hint="eastAsia" w:eastAsia="仿宋_GB2312"/>
          <w:kern w:val="0"/>
          <w:sz w:val="30"/>
          <w:szCs w:val="30"/>
        </w:rPr>
        <w:t>经费来源：</w:t>
      </w:r>
      <w:r>
        <w:rPr>
          <w:rFonts w:hint="eastAsia" w:eastAsia="仿宋_GB2312"/>
          <w:kern w:val="0"/>
          <w:sz w:val="30"/>
          <w:szCs w:val="30"/>
          <w:lang w:val="en-US" w:eastAsia="zh-CN"/>
        </w:rPr>
        <w:t>每年由县财政预算安排1000万元作为大病医疗救助基金。</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eastAsia="仿宋_GB2312"/>
          <w:kern w:val="0"/>
          <w:sz w:val="30"/>
          <w:szCs w:val="30"/>
        </w:rPr>
      </w:pPr>
      <w:r>
        <w:rPr>
          <w:rFonts w:hint="eastAsia" w:eastAsia="仿宋_GB2312"/>
          <w:kern w:val="0"/>
          <w:sz w:val="30"/>
          <w:szCs w:val="30"/>
        </w:rPr>
        <w:t>代为概况：</w:t>
      </w:r>
      <w:r>
        <w:rPr>
          <w:rFonts w:hint="eastAsia" w:ascii="Times New Roman" w:hAnsi="Times New Roman" w:eastAsia="仿宋_GB2312" w:cs="Times New Roman"/>
          <w:kern w:val="2"/>
          <w:sz w:val="32"/>
          <w:szCs w:val="32"/>
          <w:lang w:val="en-US" w:eastAsia="zh-CN" w:bidi="ar-SA"/>
        </w:rPr>
        <w:t>按国家机构改革职能职责划转相关政策，禄劝医疗保障局于2019年3月19日正式挂牌成立。为确保救助工作的连续性，经县民政局、县医疗保障局会议研究决定，由县民政局在2019年6月6日前将5月31日前所发生的相关救助费用结算完毕，于6月6日将县民政局承担的医疗救助工作和农村居民大病医疗救助工作职责职能、资金、档案全面移交县医疗保障局。从2019年6月1日起符合救助条件的救助对象，由县医疗保障局按规定进行救助，县民政局不在进行救助。我局在承担大病医疗救助工作职责职能后严格按照相关政策进行救助，2019年共收到财政拨款大病医疗救助400万元。截止2019年12月30日，农村居民大病基金299人次共支出3327556.09元。</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项目基本概况</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eastAsia="仿宋_GB2312"/>
          <w:kern w:val="0"/>
          <w:sz w:val="30"/>
          <w:szCs w:val="30"/>
        </w:rPr>
      </w:pPr>
      <w:r>
        <w:rPr>
          <w:rFonts w:hint="eastAsia" w:eastAsia="仿宋_GB2312"/>
          <w:kern w:val="0"/>
          <w:sz w:val="30"/>
          <w:szCs w:val="30"/>
          <w:lang w:val="en-US" w:eastAsia="zh-CN"/>
        </w:rPr>
        <w:t>我县对参加城乡医疗保险的禄劝农村户籍长住人口（13个乡镇（街道））</w:t>
      </w:r>
      <w:r>
        <w:rPr>
          <w:rFonts w:hint="eastAsia" w:eastAsia="仿宋_GB2312"/>
          <w:kern w:val="0"/>
          <w:sz w:val="30"/>
          <w:szCs w:val="30"/>
        </w:rPr>
        <w:t>在获得基本医疗保险、大病医疗保险、民政医疗救助补偿后，剩余的个人自付部分在2万元以下的(含2万元)按照60％比例救助;2万元以上3万元以下(含3万元)的部分按照70％比例救助;3万元以上5万元以下(含5万元)的部分按照80％比例救助;5万元以上部分按照90％比例救助。同一救助对象一年内可多次享受救助，但累计年救助金额不得超过10万元</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项目实施内容</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黑体" w:hAnsi="黑体" w:eastAsia="黑体" w:cs="黑体"/>
          <w:kern w:val="0"/>
          <w:sz w:val="30"/>
          <w:szCs w:val="30"/>
        </w:rPr>
      </w:pPr>
      <w:r>
        <w:rPr>
          <w:rFonts w:eastAsia="仿宋_GB2312"/>
          <w:kern w:val="0"/>
          <w:sz w:val="30"/>
          <w:szCs w:val="30"/>
        </w:rPr>
        <w:t>项目实施内容</w:t>
      </w:r>
      <w:r>
        <w:rPr>
          <w:rFonts w:hint="eastAsia" w:eastAsia="仿宋_GB2312"/>
          <w:kern w:val="0"/>
          <w:sz w:val="30"/>
          <w:szCs w:val="30"/>
          <w:lang w:val="en-US" w:eastAsia="zh-CN"/>
        </w:rPr>
        <w:t>是对我县对参加城乡医疗保险的禄劝农村户籍长住人口（13个乡镇（街道））按照政策进行救助。</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资金安排情况</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default" w:ascii="黑体" w:hAnsi="黑体" w:eastAsia="仿宋_GB2312" w:cs="黑体"/>
          <w:kern w:val="0"/>
          <w:sz w:val="30"/>
          <w:szCs w:val="30"/>
          <w:lang w:val="en-US" w:eastAsia="zh-CN"/>
        </w:rPr>
      </w:pPr>
      <w:r>
        <w:rPr>
          <w:rFonts w:eastAsia="仿宋_GB2312"/>
          <w:kern w:val="0"/>
          <w:sz w:val="30"/>
          <w:szCs w:val="30"/>
        </w:rPr>
        <w:t>项目计划总投资</w:t>
      </w:r>
      <w:r>
        <w:rPr>
          <w:rFonts w:hint="default" w:eastAsia="仿宋_GB2312"/>
          <w:kern w:val="0"/>
          <w:sz w:val="30"/>
          <w:szCs w:val="30"/>
        </w:rPr>
        <w:t>1</w:t>
      </w:r>
      <w:r>
        <w:rPr>
          <w:rFonts w:hint="eastAsia" w:eastAsia="仿宋_GB2312"/>
          <w:kern w:val="0"/>
          <w:sz w:val="30"/>
          <w:szCs w:val="30"/>
          <w:lang w:val="en-US" w:eastAsia="zh-CN"/>
        </w:rPr>
        <w:t>000</w:t>
      </w:r>
      <w:r>
        <w:rPr>
          <w:rFonts w:hint="default" w:eastAsia="仿宋_GB2312"/>
          <w:kern w:val="0"/>
          <w:sz w:val="30"/>
          <w:szCs w:val="30"/>
        </w:rPr>
        <w:t>万元，</w:t>
      </w:r>
      <w:r>
        <w:rPr>
          <w:rFonts w:hint="eastAsia" w:eastAsia="仿宋_GB2312"/>
          <w:kern w:val="0"/>
          <w:sz w:val="30"/>
          <w:szCs w:val="30"/>
          <w:lang w:val="en-US" w:eastAsia="zh-CN"/>
        </w:rPr>
        <w:t>全部用于我县对参加城乡医疗保险的禄劝农村户籍长住人口（13个乡镇（街道））。</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项目实施计划</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600" w:firstLineChars="200"/>
        <w:jc w:val="both"/>
        <w:textAlignment w:val="auto"/>
        <w:rPr>
          <w:rFonts w:hint="eastAsia" w:eastAsia="仿宋_GB2312"/>
          <w:kern w:val="0"/>
          <w:sz w:val="30"/>
          <w:szCs w:val="30"/>
        </w:rPr>
      </w:pPr>
      <w:r>
        <w:rPr>
          <w:rFonts w:hint="eastAsia" w:eastAsia="仿宋_GB2312"/>
          <w:kern w:val="0"/>
          <w:sz w:val="30"/>
          <w:szCs w:val="30"/>
        </w:rPr>
        <w:t>救助程序</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eastAsia="仿宋_GB2312"/>
          <w:kern w:val="0"/>
          <w:sz w:val="30"/>
          <w:szCs w:val="30"/>
          <w:lang w:eastAsia="zh-CN"/>
        </w:rPr>
      </w:pPr>
      <w:r>
        <w:rPr>
          <w:rFonts w:hint="eastAsia" w:eastAsia="仿宋_GB2312"/>
          <w:kern w:val="0"/>
          <w:sz w:val="30"/>
          <w:szCs w:val="30"/>
        </w:rPr>
        <w:t>(一)申请。符合大病医疗救助的对象，由救助对象本人或者其直系亲属，也可以委托他人向户籍所在乡镇(街道)人民政府(办事处)提出书面申请。如实填写《禄劝彝族苗族自治县大病医疗救助基金审核审批表》，并提供申请人身份证或户口簿、住院证明、结算清单、医疗发票、申请人银行卡以及其他需要提供的有关证明原件，无法提供原件的需提供复印件并加盖相关单位公章。非本人办理的，直系亲属或受委托人应当提供身份证或或户口簿或委托书原件</w:t>
      </w:r>
      <w:r>
        <w:rPr>
          <w:rFonts w:hint="eastAsia" w:eastAsia="仿宋_GB2312"/>
          <w:kern w:val="0"/>
          <w:sz w:val="30"/>
          <w:szCs w:val="30"/>
          <w:lang w:eastAsia="zh-CN"/>
        </w:rPr>
        <w:t>。</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hint="eastAsia" w:eastAsia="仿宋_GB2312"/>
          <w:kern w:val="0"/>
          <w:sz w:val="30"/>
          <w:szCs w:val="30"/>
          <w:lang w:eastAsia="zh-CN"/>
        </w:rPr>
      </w:pPr>
      <w:r>
        <w:rPr>
          <w:rFonts w:hint="eastAsia" w:eastAsia="仿宋_GB2312"/>
          <w:kern w:val="0"/>
          <w:sz w:val="30"/>
          <w:szCs w:val="30"/>
        </w:rPr>
        <w:t>(ニ)审核审批。乡镇(街道)人民政府(办事处)应当在7个工作日内，对申请对象开展核查。根据核查结果，提出意见，在乡镇(街道)政务公开栏进行公示(公示期为7天)，对公示有异议的，重新进行核实。无异议后，对不符合大病医疗救助条件的，出具《告知书》，符合大病医疗救助条件的，填报《禄劝彝族苗族自治县大病医疗救助基金审核审批表》，救助金额在500元以下的(含5000元)，由乡镇(街道)人民政府(办事处)直接审批，名单上报县</w:t>
      </w:r>
      <w:r>
        <w:rPr>
          <w:rFonts w:hint="eastAsia" w:eastAsia="仿宋_GB2312"/>
          <w:kern w:val="0"/>
          <w:sz w:val="30"/>
          <w:szCs w:val="30"/>
          <w:lang w:val="en-US" w:eastAsia="zh-CN"/>
        </w:rPr>
        <w:t>医保局</w:t>
      </w:r>
      <w:r>
        <w:rPr>
          <w:rFonts w:hint="eastAsia" w:eastAsia="仿宋_GB2312"/>
          <w:kern w:val="0"/>
          <w:sz w:val="30"/>
          <w:szCs w:val="30"/>
        </w:rPr>
        <w:t>备案;救助金额在500元以上的，乡镇(街道)人民政府(办事处)签署意见后上报县</w:t>
      </w:r>
      <w:r>
        <w:rPr>
          <w:rFonts w:hint="eastAsia" w:eastAsia="仿宋_GB2312"/>
          <w:kern w:val="0"/>
          <w:sz w:val="30"/>
          <w:szCs w:val="30"/>
          <w:lang w:val="en-US" w:eastAsia="zh-CN"/>
        </w:rPr>
        <w:t>医保</w:t>
      </w:r>
      <w:r>
        <w:rPr>
          <w:rFonts w:hint="eastAsia" w:eastAsia="仿宋_GB2312"/>
          <w:kern w:val="0"/>
          <w:sz w:val="30"/>
          <w:szCs w:val="30"/>
        </w:rPr>
        <w:t>局，县</w:t>
      </w:r>
      <w:r>
        <w:rPr>
          <w:rFonts w:hint="eastAsia" w:eastAsia="仿宋_GB2312"/>
          <w:kern w:val="0"/>
          <w:sz w:val="30"/>
          <w:szCs w:val="30"/>
          <w:lang w:val="en-US" w:eastAsia="zh-CN"/>
        </w:rPr>
        <w:t>医保</w:t>
      </w:r>
      <w:r>
        <w:rPr>
          <w:rFonts w:hint="eastAsia" w:eastAsia="仿宋_GB2312"/>
          <w:kern w:val="0"/>
          <w:sz w:val="30"/>
          <w:szCs w:val="30"/>
        </w:rPr>
        <w:t>局根据上报的相关材料进行审核，对符合救助条件且救助金额在3万元以下的(含3万元)，予以审批;救助金额超过3万元的，签署审核意见后提交大病医疗救助基金领导小组审批</w:t>
      </w:r>
      <w:r>
        <w:rPr>
          <w:rFonts w:hint="eastAsia" w:eastAsia="仿宋_GB2312"/>
          <w:kern w:val="0"/>
          <w:sz w:val="30"/>
          <w:szCs w:val="30"/>
          <w:lang w:eastAsia="zh-CN"/>
        </w:rPr>
        <w:t>。</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ascii="黑体" w:hAnsi="黑体" w:eastAsia="黑体" w:cs="黑体"/>
          <w:kern w:val="0"/>
          <w:sz w:val="30"/>
          <w:szCs w:val="30"/>
        </w:rPr>
      </w:pPr>
      <w:r>
        <w:rPr>
          <w:rFonts w:hint="eastAsia" w:eastAsia="仿宋_GB2312"/>
          <w:kern w:val="0"/>
          <w:sz w:val="30"/>
          <w:szCs w:val="30"/>
        </w:rPr>
        <w:t>(三)资金发放。根据各级救助对象审批情况、资金需求县</w:t>
      </w:r>
      <w:r>
        <w:rPr>
          <w:rFonts w:hint="eastAsia" w:eastAsia="仿宋_GB2312"/>
          <w:kern w:val="0"/>
          <w:sz w:val="30"/>
          <w:szCs w:val="30"/>
          <w:lang w:val="en-US" w:eastAsia="zh-CN"/>
        </w:rPr>
        <w:t>医保</w:t>
      </w:r>
      <w:r>
        <w:rPr>
          <w:rFonts w:hint="eastAsia" w:eastAsia="仿宋_GB2312"/>
          <w:kern w:val="0"/>
          <w:sz w:val="30"/>
          <w:szCs w:val="30"/>
        </w:rPr>
        <w:t>局按季度向县财政局提出用款计划，县财政审核后在7个工作日内将资金划拨到县</w:t>
      </w:r>
      <w:r>
        <w:rPr>
          <w:rFonts w:hint="eastAsia" w:eastAsia="仿宋_GB2312"/>
          <w:kern w:val="0"/>
          <w:sz w:val="30"/>
          <w:szCs w:val="30"/>
          <w:lang w:val="en-US" w:eastAsia="zh-CN"/>
        </w:rPr>
        <w:t>医保</w:t>
      </w:r>
      <w:r>
        <w:rPr>
          <w:rFonts w:hint="eastAsia" w:eastAsia="仿宋_GB2312"/>
          <w:kern w:val="0"/>
          <w:sz w:val="30"/>
          <w:szCs w:val="30"/>
        </w:rPr>
        <w:t>局专户。由县</w:t>
      </w:r>
      <w:r>
        <w:rPr>
          <w:rFonts w:hint="eastAsia" w:eastAsia="仿宋_GB2312"/>
          <w:kern w:val="0"/>
          <w:sz w:val="30"/>
          <w:szCs w:val="30"/>
          <w:lang w:val="en-US" w:eastAsia="zh-CN"/>
        </w:rPr>
        <w:t>医保</w:t>
      </w:r>
      <w:r>
        <w:rPr>
          <w:rFonts w:hint="eastAsia" w:eastAsia="仿宋_GB2312"/>
          <w:kern w:val="0"/>
          <w:sz w:val="30"/>
          <w:szCs w:val="30"/>
        </w:rPr>
        <w:t>局直接拨付到救助对象银行卡内，资金发放不以现金方式发放。</w:t>
      </w:r>
      <w:bookmarkStart w:id="0" w:name="_GoBack"/>
      <w:bookmarkEnd w:id="0"/>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项目实施成效</w:t>
      </w:r>
    </w:p>
    <w:p>
      <w:pPr>
        <w:keepNext w:val="0"/>
        <w:keepLines w:val="0"/>
        <w:pageBreakBefore w:val="0"/>
        <w:widowControl/>
        <w:kinsoku/>
        <w:wordWrap/>
        <w:overflowPunct/>
        <w:topLinePunct w:val="0"/>
        <w:autoSpaceDE/>
        <w:autoSpaceDN/>
        <w:bidi w:val="0"/>
        <w:adjustRightInd/>
        <w:snapToGrid/>
        <w:ind w:firstLine="600" w:firstLineChars="200"/>
        <w:jc w:val="left"/>
        <w:textAlignment w:val="auto"/>
        <w:rPr>
          <w:rFonts w:eastAsia="仿宋_GB2312"/>
          <w:kern w:val="0"/>
          <w:sz w:val="30"/>
          <w:szCs w:val="30"/>
        </w:rPr>
      </w:pPr>
      <w:r>
        <w:rPr>
          <w:rFonts w:hint="eastAsia" w:eastAsia="仿宋_GB2312"/>
          <w:kern w:val="0"/>
          <w:sz w:val="30"/>
          <w:szCs w:val="30"/>
        </w:rPr>
        <w:t>进一步完善我县农村居民大病医疗保障制度，健全多层次医疗保障体系，提高大病医疗保障水平，有效缓解我县农村困难居民因患大病致贫、返贫问题。</w:t>
      </w:r>
    </w:p>
    <w:p>
      <w:pPr>
        <w:widowControl/>
        <w:numPr>
          <w:ilvl w:val="0"/>
          <w:numId w:val="1"/>
        </w:numPr>
        <w:ind w:firstLine="600" w:firstLineChars="200"/>
        <w:jc w:val="left"/>
        <w:rPr>
          <w:rFonts w:ascii="黑体" w:hAnsi="黑体" w:eastAsia="黑体" w:cs="黑体"/>
          <w:kern w:val="0"/>
          <w:sz w:val="30"/>
          <w:szCs w:val="30"/>
        </w:rPr>
      </w:pPr>
      <w:r>
        <w:rPr>
          <w:rFonts w:hint="eastAsia" w:ascii="黑体" w:hAnsi="黑体" w:eastAsia="黑体" w:cs="黑体"/>
          <w:kern w:val="0"/>
          <w:sz w:val="30"/>
          <w:szCs w:val="30"/>
        </w:rPr>
        <w:t>项目绩效目标表</w:t>
      </w:r>
    </w:p>
    <w:tbl>
      <w:tblPr>
        <w:tblStyle w:val="2"/>
        <w:tblW w:w="9157" w:type="dxa"/>
        <w:tblInd w:w="0" w:type="dxa"/>
        <w:shd w:val="clear" w:color="auto" w:fill="auto"/>
        <w:tblLayout w:type="fixed"/>
        <w:tblCellMar>
          <w:top w:w="0" w:type="dxa"/>
          <w:left w:w="0" w:type="dxa"/>
          <w:bottom w:w="0" w:type="dxa"/>
          <w:right w:w="0" w:type="dxa"/>
        </w:tblCellMar>
      </w:tblPr>
      <w:tblGrid>
        <w:gridCol w:w="1885"/>
        <w:gridCol w:w="751"/>
        <w:gridCol w:w="1152"/>
        <w:gridCol w:w="864"/>
        <w:gridCol w:w="1164"/>
        <w:gridCol w:w="1709"/>
        <w:gridCol w:w="1632"/>
      </w:tblGrid>
      <w:tr>
        <w:tblPrEx>
          <w:tblCellMar>
            <w:top w:w="0" w:type="dxa"/>
            <w:left w:w="0" w:type="dxa"/>
            <w:bottom w:w="0" w:type="dxa"/>
            <w:right w:w="0" w:type="dxa"/>
          </w:tblCellMar>
        </w:tblPrEx>
        <w:trPr>
          <w:trHeight w:val="662" w:hRule="atLeast"/>
        </w:trPr>
        <w:tc>
          <w:tcPr>
            <w:tcW w:w="9157" w:type="dxa"/>
            <w:gridSpan w:val="7"/>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项目绩效目标表（绩效目标）</w:t>
            </w:r>
          </w:p>
        </w:tc>
      </w:tr>
      <w:tr>
        <w:tblPrEx>
          <w:shd w:val="clear" w:color="auto" w:fill="auto"/>
          <w:tblCellMar>
            <w:top w:w="0" w:type="dxa"/>
            <w:left w:w="0" w:type="dxa"/>
            <w:bottom w:w="0" w:type="dxa"/>
            <w:right w:w="0" w:type="dxa"/>
          </w:tblCellMar>
        </w:tblPrEx>
        <w:trPr>
          <w:trHeight w:val="316" w:hRule="atLeast"/>
        </w:trPr>
        <w:tc>
          <w:tcPr>
            <w:tcW w:w="1885" w:type="dxa"/>
            <w:tcBorders>
              <w:top w:val="nil"/>
              <w:left w:val="nil"/>
              <w:bottom w:val="nil"/>
              <w:right w:val="nil"/>
            </w:tcBorders>
            <w:shd w:val="clear" w:color="auto" w:fill="auto"/>
            <w:tcMar>
              <w:top w:w="12" w:type="dxa"/>
              <w:left w:w="12" w:type="dxa"/>
              <w:right w:w="12" w:type="dxa"/>
            </w:tcMar>
            <w:vAlign w:val="center"/>
          </w:tcPr>
          <w:p>
            <w:pPr>
              <w:jc w:val="center"/>
              <w:rPr>
                <w:rFonts w:hint="eastAsia" w:ascii="宋体" w:hAnsi="宋体" w:eastAsia="宋体" w:cs="宋体"/>
                <w:b/>
                <w:i w:val="0"/>
                <w:color w:val="000000"/>
                <w:sz w:val="36"/>
                <w:szCs w:val="36"/>
                <w:u w:val="none"/>
              </w:rPr>
            </w:pPr>
          </w:p>
        </w:tc>
        <w:tc>
          <w:tcPr>
            <w:tcW w:w="751" w:type="dxa"/>
            <w:tcBorders>
              <w:top w:val="nil"/>
              <w:left w:val="nil"/>
              <w:bottom w:val="nil"/>
              <w:right w:val="nil"/>
            </w:tcBorders>
            <w:shd w:val="clear" w:color="auto" w:fill="auto"/>
            <w:noWrap/>
            <w:tcMar>
              <w:top w:w="12" w:type="dxa"/>
              <w:left w:w="12" w:type="dxa"/>
              <w:right w:w="12" w:type="dxa"/>
            </w:tcMar>
            <w:vAlign w:val="center"/>
          </w:tcPr>
          <w:p>
            <w:pPr>
              <w:jc w:val="center"/>
              <w:rPr>
                <w:rFonts w:hint="eastAsia" w:ascii="方正小标宋简体" w:hAnsi="方正小标宋简体" w:eastAsia="方正小标宋简体" w:cs="方正小标宋简体"/>
                <w:i w:val="0"/>
                <w:color w:val="000000"/>
                <w:sz w:val="36"/>
                <w:szCs w:val="36"/>
                <w:u w:val="none"/>
              </w:rPr>
            </w:pPr>
          </w:p>
        </w:tc>
        <w:tc>
          <w:tcPr>
            <w:tcW w:w="1152" w:type="dxa"/>
            <w:tcBorders>
              <w:top w:val="nil"/>
              <w:left w:val="nil"/>
              <w:bottom w:val="nil"/>
              <w:right w:val="nil"/>
            </w:tcBorders>
            <w:shd w:val="clear" w:color="auto" w:fill="auto"/>
            <w:noWrap/>
            <w:tcMar>
              <w:top w:w="12" w:type="dxa"/>
              <w:left w:w="12" w:type="dxa"/>
              <w:right w:w="12" w:type="dxa"/>
            </w:tcMar>
            <w:vAlign w:val="center"/>
          </w:tcPr>
          <w:p>
            <w:pPr>
              <w:jc w:val="center"/>
              <w:rPr>
                <w:rFonts w:hint="default" w:ascii="方正小标宋简体" w:hAnsi="方正小标宋简体" w:eastAsia="方正小标宋简体" w:cs="方正小标宋简体"/>
                <w:i w:val="0"/>
                <w:color w:val="000000"/>
                <w:sz w:val="36"/>
                <w:szCs w:val="36"/>
                <w:u w:val="none"/>
              </w:rPr>
            </w:pPr>
          </w:p>
        </w:tc>
        <w:tc>
          <w:tcPr>
            <w:tcW w:w="864" w:type="dxa"/>
            <w:tcBorders>
              <w:top w:val="nil"/>
              <w:left w:val="nil"/>
              <w:bottom w:val="nil"/>
              <w:right w:val="nil"/>
            </w:tcBorders>
            <w:shd w:val="clear" w:color="auto" w:fill="auto"/>
            <w:noWrap/>
            <w:tcMar>
              <w:top w:w="12" w:type="dxa"/>
              <w:left w:w="12" w:type="dxa"/>
              <w:right w:w="12" w:type="dxa"/>
            </w:tcMar>
            <w:vAlign w:val="center"/>
          </w:tcPr>
          <w:p>
            <w:pPr>
              <w:jc w:val="center"/>
              <w:rPr>
                <w:rFonts w:hint="default" w:ascii="方正小标宋简体" w:hAnsi="方正小标宋简体" w:eastAsia="方正小标宋简体" w:cs="方正小标宋简体"/>
                <w:i w:val="0"/>
                <w:color w:val="000000"/>
                <w:sz w:val="36"/>
                <w:szCs w:val="36"/>
                <w:u w:val="none"/>
              </w:rPr>
            </w:pPr>
          </w:p>
        </w:tc>
        <w:tc>
          <w:tcPr>
            <w:tcW w:w="1164" w:type="dxa"/>
            <w:tcBorders>
              <w:top w:val="nil"/>
              <w:left w:val="nil"/>
              <w:bottom w:val="nil"/>
              <w:right w:val="nil"/>
            </w:tcBorders>
            <w:shd w:val="clear" w:color="auto" w:fill="auto"/>
            <w:noWrap/>
            <w:tcMar>
              <w:top w:w="12" w:type="dxa"/>
              <w:left w:w="12" w:type="dxa"/>
              <w:right w:w="12" w:type="dxa"/>
            </w:tcMar>
            <w:vAlign w:val="center"/>
          </w:tcPr>
          <w:p>
            <w:pPr>
              <w:jc w:val="center"/>
              <w:rPr>
                <w:rFonts w:hint="default" w:ascii="方正小标宋简体" w:hAnsi="方正小标宋简体" w:eastAsia="方正小标宋简体" w:cs="方正小标宋简体"/>
                <w:i w:val="0"/>
                <w:color w:val="000000"/>
                <w:sz w:val="36"/>
                <w:szCs w:val="36"/>
                <w:u w:val="none"/>
              </w:rPr>
            </w:pPr>
          </w:p>
        </w:tc>
        <w:tc>
          <w:tcPr>
            <w:tcW w:w="1709" w:type="dxa"/>
            <w:tcBorders>
              <w:top w:val="nil"/>
              <w:left w:val="nil"/>
              <w:bottom w:val="nil"/>
              <w:right w:val="nil"/>
            </w:tcBorders>
            <w:shd w:val="clear" w:color="auto" w:fill="auto"/>
            <w:noWrap/>
            <w:tcMar>
              <w:top w:w="12" w:type="dxa"/>
              <w:left w:w="12" w:type="dxa"/>
              <w:right w:w="12" w:type="dxa"/>
            </w:tcMar>
            <w:vAlign w:val="center"/>
          </w:tcPr>
          <w:p>
            <w:pPr>
              <w:jc w:val="center"/>
              <w:rPr>
                <w:rFonts w:hint="default" w:ascii="方正小标宋简体" w:hAnsi="方正小标宋简体" w:eastAsia="方正小标宋简体" w:cs="方正小标宋简体"/>
                <w:i w:val="0"/>
                <w:color w:val="000000"/>
                <w:sz w:val="36"/>
                <w:szCs w:val="36"/>
                <w:u w:val="none"/>
              </w:rPr>
            </w:pPr>
          </w:p>
        </w:tc>
        <w:tc>
          <w:tcPr>
            <w:tcW w:w="1632" w:type="dxa"/>
            <w:tcBorders>
              <w:top w:val="nil"/>
              <w:left w:val="nil"/>
              <w:bottom w:val="nil"/>
              <w:right w:val="nil"/>
            </w:tcBorders>
            <w:shd w:val="clear" w:color="auto" w:fill="auto"/>
            <w:noWrap/>
            <w:tcMar>
              <w:top w:w="12" w:type="dxa"/>
              <w:left w:w="12" w:type="dxa"/>
              <w:right w:w="12" w:type="dxa"/>
            </w:tcMar>
            <w:vAlign w:val="center"/>
          </w:tcPr>
          <w:p>
            <w:pPr>
              <w:jc w:val="center"/>
              <w:rPr>
                <w:rFonts w:hint="default" w:ascii="方正小标宋简体" w:hAnsi="方正小标宋简体" w:eastAsia="方正小标宋简体" w:cs="方正小标宋简体"/>
                <w:i w:val="0"/>
                <w:color w:val="000000"/>
                <w:sz w:val="36"/>
                <w:szCs w:val="36"/>
                <w:u w:val="none"/>
              </w:rPr>
            </w:pPr>
          </w:p>
        </w:tc>
      </w:tr>
      <w:tr>
        <w:tblPrEx>
          <w:shd w:val="clear" w:color="auto" w:fill="auto"/>
          <w:tblCellMar>
            <w:top w:w="0" w:type="dxa"/>
            <w:left w:w="0" w:type="dxa"/>
            <w:bottom w:w="0" w:type="dxa"/>
            <w:right w:w="0" w:type="dxa"/>
          </w:tblCellMar>
        </w:tblPrEx>
        <w:trPr>
          <w:trHeight w:val="62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指标名称</w:t>
            </w:r>
          </w:p>
        </w:tc>
        <w:tc>
          <w:tcPr>
            <w:tcW w:w="75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指标性质</w:t>
            </w:r>
          </w:p>
        </w:tc>
        <w:tc>
          <w:tcPr>
            <w:tcW w:w="11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指标值</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度量单位</w:t>
            </w:r>
          </w:p>
        </w:tc>
        <w:tc>
          <w:tcPr>
            <w:tcW w:w="11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指标类型</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绩效指标值设定依据及数据来源</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说明</w:t>
            </w:r>
          </w:p>
        </w:tc>
      </w:tr>
      <w:tr>
        <w:tblPrEx>
          <w:shd w:val="clear" w:color="auto" w:fill="auto"/>
          <w:tblCellMar>
            <w:top w:w="0" w:type="dxa"/>
            <w:left w:w="0" w:type="dxa"/>
            <w:bottom w:w="0" w:type="dxa"/>
            <w:right w:w="0" w:type="dxa"/>
          </w:tblCellMar>
        </w:tblPrEx>
        <w:trPr>
          <w:trHeight w:val="50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r>
      <w:tr>
        <w:tblPrEx>
          <w:shd w:val="clear" w:color="auto" w:fill="auto"/>
          <w:tblCellMar>
            <w:top w:w="0" w:type="dxa"/>
            <w:left w:w="0" w:type="dxa"/>
            <w:bottom w:w="0" w:type="dxa"/>
            <w:right w:w="0" w:type="dxa"/>
          </w:tblCellMar>
        </w:tblPrEx>
        <w:trPr>
          <w:trHeight w:val="36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数量指标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68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★★★医疗救助人次数（≥**人次）</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shd w:val="clear" w:color="auto" w:fill="auto"/>
          <w:tblCellMar>
            <w:top w:w="0" w:type="dxa"/>
            <w:left w:w="0" w:type="dxa"/>
            <w:bottom w:w="0" w:type="dxa"/>
            <w:right w:w="0" w:type="dxa"/>
          </w:tblCellMar>
        </w:tblPrEx>
        <w:trPr>
          <w:trHeight w:val="64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★★★其中：建档立卡贫困人口医疗救助人次数（≥**人次）</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2400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shd w:val="clear" w:color="auto" w:fill="auto"/>
          <w:tblCellMar>
            <w:top w:w="0" w:type="dxa"/>
            <w:left w:w="0" w:type="dxa"/>
            <w:bottom w:w="0" w:type="dxa"/>
            <w:right w:w="0" w:type="dxa"/>
          </w:tblCellMar>
        </w:tblPrEx>
        <w:trPr>
          <w:trHeight w:val="68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★建档立卡大病患者集中救治人数（≥**人次）</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700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shd w:val="clear" w:color="auto" w:fill="auto"/>
          <w:tblCellMar>
            <w:top w:w="0" w:type="dxa"/>
            <w:left w:w="0" w:type="dxa"/>
            <w:bottom w:w="0" w:type="dxa"/>
            <w:right w:w="0" w:type="dxa"/>
          </w:tblCellMar>
        </w:tblPrEx>
        <w:trPr>
          <w:trHeight w:val="68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★建档立卡贫困人口获得重特大疾病医疗救助人次数（≥**人次）</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650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tblCellMar>
            <w:top w:w="0" w:type="dxa"/>
            <w:left w:w="0" w:type="dxa"/>
            <w:bottom w:w="0" w:type="dxa"/>
            <w:right w:w="0" w:type="dxa"/>
          </w:tblCellMar>
        </w:tblPrEx>
        <w:trPr>
          <w:trHeight w:val="70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重特大疾病医疗救助人次占直接救助人次比例（ ≥**%）</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shd w:val="clear" w:color="auto" w:fill="auto"/>
          <w:tblCellMar>
            <w:top w:w="0" w:type="dxa"/>
            <w:left w:w="0" w:type="dxa"/>
            <w:bottom w:w="0" w:type="dxa"/>
            <w:right w:w="0" w:type="dxa"/>
          </w:tblCellMar>
        </w:tblPrEx>
        <w:trPr>
          <w:trHeight w:val="46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质量指标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r>
      <w:tr>
        <w:tblPrEx>
          <w:shd w:val="clear" w:color="auto" w:fill="auto"/>
          <w:tblCellMar>
            <w:top w:w="0" w:type="dxa"/>
            <w:left w:w="0" w:type="dxa"/>
            <w:bottom w:w="0" w:type="dxa"/>
            <w:right w:w="0" w:type="dxa"/>
          </w:tblCellMar>
        </w:tblPrEx>
        <w:trPr>
          <w:trHeight w:val="86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县域内建档立卡贫困人口医疗保险和医疗救助费用“一站式”结算率（≥**%）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tblCellMar>
            <w:top w:w="0" w:type="dxa"/>
            <w:left w:w="0" w:type="dxa"/>
            <w:bottom w:w="0" w:type="dxa"/>
            <w:right w:w="0" w:type="dxa"/>
          </w:tblCellMar>
        </w:tblPrEx>
        <w:trPr>
          <w:trHeight w:val="80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医疗救助重点救助对象自负费用年度限额内住院救助比例（≥70%）</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shd w:val="clear" w:color="auto" w:fill="auto"/>
          <w:tblCellMar>
            <w:top w:w="0" w:type="dxa"/>
            <w:left w:w="0" w:type="dxa"/>
            <w:bottom w:w="0" w:type="dxa"/>
            <w:right w:w="0" w:type="dxa"/>
          </w:tblCellMar>
        </w:tblPrEx>
        <w:trPr>
          <w:trHeight w:val="42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4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服务对象满意度指标</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2"/>
                <w:szCs w:val="22"/>
                <w:u w:val="none"/>
              </w:rPr>
            </w:pP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60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受益群众满意度（≥**%）</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r>
        <w:tblPrEx>
          <w:tblCellMar>
            <w:top w:w="0" w:type="dxa"/>
            <w:left w:w="0" w:type="dxa"/>
            <w:bottom w:w="0" w:type="dxa"/>
            <w:right w:w="0" w:type="dxa"/>
          </w:tblCellMar>
        </w:tblPrEx>
        <w:trPr>
          <w:trHeight w:val="640"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★受益建档立卡贫困人口满意度（≥**%）</w:t>
            </w:r>
          </w:p>
        </w:tc>
        <w:tc>
          <w:tcPr>
            <w:tcW w:w="7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定量指标</w:t>
            </w:r>
          </w:p>
        </w:tc>
        <w:tc>
          <w:tcPr>
            <w:tcW w:w="17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禄劝彝族苗族自治县农村居民大病医疗救助实施方案</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应保尽保</w:t>
            </w:r>
          </w:p>
        </w:tc>
      </w:tr>
    </w:tbl>
    <w:p>
      <w:pPr>
        <w:widowControl/>
        <w:ind w:left="600"/>
        <w:jc w:val="left"/>
        <w:rPr>
          <w:rFonts w:eastAsia="仿宋_GB2312"/>
          <w:kern w:val="0"/>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932486"/>
    <w:multiLevelType w:val="singleLevel"/>
    <w:tmpl w:val="BD932486"/>
    <w:lvl w:ilvl="0" w:tentative="0">
      <w:start w:val="1"/>
      <w:numFmt w:val="chineseCounting"/>
      <w:suff w:val="nothing"/>
      <w:lvlText w:val="%1、"/>
      <w:lvlJc w:val="left"/>
      <w:pPr>
        <w:ind w:left="0" w:firstLine="420"/>
      </w:pPr>
      <w:rPr>
        <w:rFonts w:hint="eastAsia"/>
      </w:rPr>
    </w:lvl>
  </w:abstractNum>
  <w:abstractNum w:abstractNumId="1">
    <w:nsid w:val="650CB686"/>
    <w:multiLevelType w:val="singleLevel"/>
    <w:tmpl w:val="650CB68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A733E"/>
    <w:rsid w:val="3D1C3D43"/>
    <w:rsid w:val="5B442286"/>
    <w:rsid w:val="5E4A733E"/>
    <w:rsid w:val="754E3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94</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2020-07-23T01:40:00Z</dcterms:created>
  <dc:creator>Administrator</dc:creator>
  <cp:lastModifiedBy>Administrator</cp:lastModifiedBy>
  <dcterms:modified xsi:type="dcterms:W3CDTF">2020-07-27T02:37:45Z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