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关于</w:t>
      </w:r>
      <w:bookmarkStart w:id="0" w:name="_GoBack"/>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县委组织部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2018年部门预算编制的说明</w:t>
      </w:r>
    </w:p>
    <w:p>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ascii="宋体" w:hAnsi="宋体" w:eastAsia="宋体" w:cs="宋体"/>
          <w:sz w:val="32"/>
          <w:szCs w:val="32"/>
        </w:rPr>
      </w:pPr>
    </w:p>
    <w:bookmarkEnd w:id="0"/>
    <w:p>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ascii="宋体" w:hAnsi="宋体" w:eastAsia="宋体" w:cs="宋体"/>
          <w:sz w:val="32"/>
          <w:szCs w:val="32"/>
        </w:rPr>
      </w:pPr>
      <w:r>
        <w:rPr>
          <w:rFonts w:ascii="宋体" w:hAnsi="宋体" w:eastAsia="宋体" w:cs="宋体"/>
          <w:sz w:val="32"/>
          <w:szCs w:val="32"/>
        </w:rPr>
        <w:t>【目录】</w:t>
      </w:r>
    </w:p>
    <w:p>
      <w:pPr>
        <w:rPr>
          <w:rFonts w:hint="eastAsia"/>
          <w:sz w:val="32"/>
          <w:szCs w:val="32"/>
        </w:rPr>
      </w:pPr>
      <w:r>
        <w:rPr>
          <w:rFonts w:hint="eastAsia"/>
          <w:sz w:val="32"/>
          <w:szCs w:val="32"/>
          <w:lang w:eastAsia="zh-CN"/>
        </w:rPr>
        <w:t>一、</w:t>
      </w:r>
      <w:r>
        <w:rPr>
          <w:rFonts w:hint="eastAsia"/>
          <w:sz w:val="32"/>
          <w:szCs w:val="32"/>
        </w:rPr>
        <w:t>基本职能及主要工作</w:t>
      </w:r>
      <w:r>
        <w:rPr>
          <w:rFonts w:hint="eastAsia"/>
          <w:sz w:val="32"/>
          <w:szCs w:val="32"/>
        </w:rPr>
        <w:br w:type="textWrapping"/>
      </w:r>
      <w:r>
        <w:rPr>
          <w:rFonts w:hint="eastAsia"/>
          <w:sz w:val="32"/>
          <w:szCs w:val="32"/>
          <w:lang w:val="en-US" w:eastAsia="zh-CN"/>
        </w:rPr>
        <w:t>二、</w:t>
      </w:r>
      <w:r>
        <w:rPr>
          <w:rFonts w:hint="eastAsia"/>
          <w:sz w:val="32"/>
          <w:szCs w:val="32"/>
        </w:rPr>
        <w:t>预算单位基本情况</w:t>
      </w:r>
    </w:p>
    <w:p>
      <w:pPr>
        <w:rPr>
          <w:rFonts w:hint="eastAsia"/>
          <w:sz w:val="32"/>
          <w:szCs w:val="32"/>
        </w:rPr>
      </w:pPr>
      <w:r>
        <w:rPr>
          <w:rFonts w:hint="eastAsia"/>
          <w:sz w:val="32"/>
          <w:szCs w:val="32"/>
          <w:lang w:eastAsia="zh-CN"/>
        </w:rPr>
        <w:t>三、</w:t>
      </w:r>
      <w:r>
        <w:rPr>
          <w:rFonts w:hint="eastAsia"/>
          <w:sz w:val="32"/>
          <w:szCs w:val="32"/>
        </w:rPr>
        <w:t>预算单位收入情况</w:t>
      </w:r>
    </w:p>
    <w:p>
      <w:pPr>
        <w:rPr>
          <w:rFonts w:hint="eastAsia"/>
          <w:sz w:val="32"/>
          <w:szCs w:val="32"/>
        </w:rPr>
      </w:pPr>
      <w:r>
        <w:rPr>
          <w:rFonts w:hint="eastAsia"/>
          <w:sz w:val="32"/>
          <w:szCs w:val="32"/>
          <w:lang w:eastAsia="zh-CN"/>
        </w:rPr>
        <w:t>四、</w:t>
      </w:r>
      <w:r>
        <w:rPr>
          <w:rFonts w:hint="eastAsia"/>
          <w:sz w:val="32"/>
          <w:szCs w:val="32"/>
        </w:rPr>
        <w:t>预算单位支出情况</w:t>
      </w:r>
      <w:r>
        <w:rPr>
          <w:rFonts w:hint="eastAsia"/>
          <w:sz w:val="32"/>
          <w:szCs w:val="32"/>
        </w:rPr>
        <w:br w:type="textWrapping"/>
      </w:r>
      <w:r>
        <w:rPr>
          <w:rFonts w:hint="eastAsia"/>
          <w:sz w:val="32"/>
          <w:szCs w:val="32"/>
        </w:rPr>
        <w:t>五、市对下专项转移支付情况</w:t>
      </w:r>
      <w:r>
        <w:rPr>
          <w:rFonts w:hint="eastAsia"/>
          <w:sz w:val="32"/>
          <w:szCs w:val="32"/>
        </w:rPr>
        <w:br w:type="textWrapping"/>
      </w:r>
      <w:r>
        <w:rPr>
          <w:rFonts w:hint="eastAsia"/>
          <w:sz w:val="32"/>
          <w:szCs w:val="32"/>
        </w:rPr>
        <w:t>六、政府采购预算情况</w:t>
      </w:r>
      <w:r>
        <w:rPr>
          <w:rFonts w:hint="eastAsia"/>
          <w:sz w:val="32"/>
          <w:szCs w:val="32"/>
        </w:rPr>
        <w:br w:type="textWrapping"/>
      </w:r>
      <w:r>
        <w:rPr>
          <w:rFonts w:hint="eastAsia"/>
          <w:sz w:val="32"/>
          <w:szCs w:val="32"/>
        </w:rPr>
        <w:t>七、预算收支增减变化情况说明</w:t>
      </w:r>
      <w:r>
        <w:rPr>
          <w:rFonts w:hint="eastAsia"/>
          <w:sz w:val="32"/>
          <w:szCs w:val="32"/>
        </w:rPr>
        <w:br w:type="textWrapping"/>
      </w:r>
      <w:r>
        <w:rPr>
          <w:rFonts w:hint="eastAsia"/>
          <w:sz w:val="32"/>
          <w:szCs w:val="32"/>
        </w:rPr>
        <w:t>八、其他公开信息</w:t>
      </w:r>
      <w:r>
        <w:rPr>
          <w:rFonts w:hint="eastAsia"/>
          <w:sz w:val="32"/>
          <w:szCs w:val="32"/>
        </w:rPr>
        <w:br w:type="textWrapping"/>
      </w:r>
      <w:r>
        <w:rPr>
          <w:rFonts w:hint="eastAsia"/>
          <w:sz w:val="32"/>
          <w:szCs w:val="32"/>
          <w:lang w:eastAsia="zh-CN"/>
        </w:rPr>
        <w:t>（一）</w:t>
      </w:r>
      <w:r>
        <w:rPr>
          <w:rFonts w:hint="eastAsia"/>
          <w:sz w:val="32"/>
          <w:szCs w:val="32"/>
        </w:rPr>
        <w:t>专业名词解释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按照预算管理的相关规定，目前部门预算的编制实行全口径预算管理，即收入和支出全部纳入预算管理，全部收入和支出都反映在预算中。</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一、基本职能及主要工作</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1、坚持贯彻执行党的组织路线，全面落实中央和省、市、县委有关组织、干部、人事工作的各项方针政策，为实现党的政治路线，推动和促进全县经济发展、社会进步提供保证。</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研究和指导全县基层党组织建设，探索各类新经济组织中党组织的设置和活动方式；研究规划党员教育和党员管理工作，制定全县发展党员的计划和措施，组织新时期的建设理论研究；管理县直机关党委、非公有制经济组织和社会组织党工委、县人才工作领导小组办公室、县招商引资考核办公室、县党员电化教育中心、县委党代表联络工作办公室。</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研究提出乡（镇）、县委各部委和县级国家机关各办局及其他列入县委管理的领导班子的调整、配备的意见和建议；加强领导班子的思想作风建设；负责县委管理干部的考察；负责市委管理干部的工资、待遇、退（离）休审批手续的报批和办理；承办科级干部的调配、交流及安置事宜；负责县委及群众团体机关工作人员调动有关手续办理。</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4、研究制定全县干部队伍建设的有关政策、组织落实培养选拔优秀年轻干部、妇女干部、少数民族干部和非党干部工作。</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5、宏观指导全县党的组织制度和干部人事制度的改革，制定或参与制定全县组织、干部、人事工作的有关政策和制度。</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6、负责全县组织工作和干部工作的调查研究和检查督促，及时向县委反映重要情况，提出工作建议。</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7、负责全县知识分子工作的指导、检查、综合协调；组织有限专业技术人才开展有关活动。</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8、负责全县老干部工作的宏观管理、指导全县老干部工作。</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9、负责全县干部教育工作，拟定全县干部教育培训规划、组织县管干部和有关干部进行培训；指导、协调、检查全县的干部教育工作。</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10、负责选拔任用干部的监督管理工作、干部审查工作、历史遗留问题审理工作，接待处理县管干部以及党员、群众的来信来访工作。</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11、协助市委组织部做好县级领导干部的推荐和考察工作。</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12、完成上级组织部门和县委交办的其他各项工作任务。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二、预算单位基本情况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我部认真贯彻落实中央、省、市、县深化改革精神，紧紧围绕推进建立现代预算制度，完善税收制度，建立事权与支出责任相适应的财税体制改革目标开展工作，做实绩效目标管理，强化预算执行，确保各项支出目标顺利实施。</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（一）强化预算编制原则，确保实现收支平衡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1.以收定支，收支平衡原则。财政预算安排坚持“以收定支、量入为出、收支平衡”的原则，既要体现实际需要，又要考虑财力可能，努力增收节支，确保实现财政收支平衡，不编制赤字预算，不寅吃卯粮。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2.确保运转，民生为本原则。财政预算安排要坚持以人为本，保障和改善民生；确保社会保障、就业、医疗卫生等民生支出；确保党建、干部、人才等法定增长支出。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3.厉行节约，控制一般原则。我部贯彻落实中央、省、市关于厉行节约、反对浪费等相关规定，从严控制一般性支出，加强“三公经费”管理，切实降低行政运行成本。</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优化配置，绩效引导原则。我部围绕发展目标，分解落实项目和工作措施，项目支出有明确、量化的预期经济社会绩效目标，建立绩效评价结果与预算安排相结合的运行机制，加强预算绩效管理，提高财政资金使用效率与配置效能。</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集体领导，集体决策原则。我部充分认识部门预算编制的重要性和严肃性，高度重视，精心组织，集中人员力量，认真编制部门预算。及时向县分管领导汇报部门预算编制情况，部门预算经县分管领导研究审定后报县财政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（二）实施综合预算管理，提高预算编制完整性。</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我部在编制2018年预算时，按要求编制和提交项目支出预算绩效目标和部门（单位）整体支出绩效目标。绩效目标要能清晰反映预算资金的预期产出和效果，并以相应的绩效指标予以细化、量化描述。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（三）强化预算执行管理，严控新增存量资金</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我部在预算工作中严格执行县财政部预算管理要求，研究分析预算执行中存在的问题，做实做细年度预算编制工作，提高资金使用效益。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预算单位收入情况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2018年中国共产党禄劝彝族苗族自治县委员会</w:t>
      </w:r>
      <w:r>
        <w:rPr>
          <w:rFonts w:hint="eastAsia" w:ascii="仿宋_GB2312" w:hAnsi="仿宋_GB2312" w:eastAsia="仿宋_GB2312" w:cs="仿宋_GB2312"/>
          <w:sz w:val="32"/>
          <w:szCs w:val="32"/>
          <w:lang w:eastAsia="zh-CN"/>
        </w:rPr>
        <w:t>组织部</w:t>
      </w:r>
      <w:r>
        <w:rPr>
          <w:rFonts w:hint="eastAsia" w:ascii="仿宋_GB2312" w:hAnsi="仿宋_GB2312" w:eastAsia="仿宋_GB2312" w:cs="仿宋_GB2312"/>
          <w:sz w:val="32"/>
          <w:szCs w:val="32"/>
        </w:rPr>
        <w:t>财务总收入</w:t>
      </w:r>
      <w:r>
        <w:rPr>
          <w:rFonts w:hint="eastAsia" w:ascii="仿宋_GB2312" w:hAnsi="仿宋_GB2312" w:eastAsia="仿宋_GB2312" w:cs="仿宋_GB2312"/>
          <w:sz w:val="32"/>
          <w:szCs w:val="32"/>
          <w:lang w:val="en-US" w:eastAsia="zh-CN"/>
        </w:rPr>
        <w:t>1095.04</w:t>
      </w:r>
      <w:r>
        <w:rPr>
          <w:rFonts w:hint="eastAsia" w:ascii="仿宋_GB2312" w:hAnsi="仿宋_GB2312" w:eastAsia="仿宋_GB2312" w:cs="仿宋_GB2312"/>
          <w:sz w:val="32"/>
          <w:szCs w:val="32"/>
        </w:rPr>
        <w:t>万元，其中：一般公共预算</w:t>
      </w:r>
      <w:r>
        <w:rPr>
          <w:rFonts w:hint="eastAsia" w:ascii="仿宋_GB2312" w:hAnsi="仿宋_GB2312" w:eastAsia="仿宋_GB2312" w:cs="仿宋_GB2312"/>
          <w:sz w:val="32"/>
          <w:szCs w:val="32"/>
          <w:lang w:val="en-US" w:eastAsia="zh-CN"/>
        </w:rPr>
        <w:t>244.77</w:t>
      </w:r>
      <w:r>
        <w:rPr>
          <w:rFonts w:hint="eastAsia" w:ascii="仿宋_GB2312" w:hAnsi="仿宋_GB2312" w:eastAsia="仿宋_GB2312" w:cs="仿宋_GB2312"/>
          <w:sz w:val="32"/>
          <w:szCs w:val="32"/>
        </w:rPr>
        <w:t>万元，政府性基金收入0万元，国有资本经营收益0万元，事业收入0万元，事业单位经营收入0万元，其他收入0万元。</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2018年中国共产党禄劝彝族苗族自治县委员会</w:t>
      </w:r>
      <w:r>
        <w:rPr>
          <w:rFonts w:hint="eastAsia" w:ascii="仿宋_GB2312" w:hAnsi="仿宋_GB2312" w:eastAsia="仿宋_GB2312" w:cs="仿宋_GB2312"/>
          <w:sz w:val="32"/>
          <w:szCs w:val="32"/>
          <w:lang w:eastAsia="zh-CN"/>
        </w:rPr>
        <w:t>组织部</w:t>
      </w:r>
      <w:r>
        <w:rPr>
          <w:rFonts w:hint="eastAsia" w:ascii="仿宋_GB2312" w:hAnsi="仿宋_GB2312" w:eastAsia="仿宋_GB2312" w:cs="仿宋_GB2312"/>
          <w:sz w:val="32"/>
          <w:szCs w:val="32"/>
        </w:rPr>
        <w:t>财政拨款收入</w:t>
      </w:r>
      <w:r>
        <w:rPr>
          <w:rFonts w:hint="eastAsia" w:ascii="仿宋_GB2312" w:hAnsi="仿宋_GB2312" w:eastAsia="仿宋_GB2312" w:cs="仿宋_GB2312"/>
          <w:sz w:val="32"/>
          <w:szCs w:val="32"/>
          <w:lang w:val="en-US" w:eastAsia="zh-CN"/>
        </w:rPr>
        <w:t>1095.04</w:t>
      </w:r>
      <w:r>
        <w:rPr>
          <w:rFonts w:hint="eastAsia" w:ascii="仿宋_GB2312" w:hAnsi="仿宋_GB2312" w:eastAsia="仿宋_GB2312" w:cs="仿宋_GB2312"/>
          <w:sz w:val="32"/>
          <w:szCs w:val="32"/>
        </w:rPr>
        <w:t>万元，其中，本年收入</w:t>
      </w:r>
      <w:r>
        <w:rPr>
          <w:rFonts w:hint="eastAsia" w:ascii="仿宋_GB2312" w:hAnsi="仿宋_GB2312" w:eastAsia="仿宋_GB2312" w:cs="仿宋_GB2312"/>
          <w:sz w:val="32"/>
          <w:szCs w:val="32"/>
          <w:lang w:val="en-US" w:eastAsia="zh-CN"/>
        </w:rPr>
        <w:t>1095.04</w:t>
      </w:r>
      <w:r>
        <w:rPr>
          <w:rFonts w:hint="eastAsia" w:ascii="仿宋_GB2312" w:hAnsi="仿宋_GB2312" w:eastAsia="仿宋_GB2312" w:cs="仿宋_GB2312"/>
          <w:sz w:val="32"/>
          <w:szCs w:val="32"/>
        </w:rPr>
        <w:t>万元，上年结转收入0万元。本年收入中，一般公共预算财政拨款</w:t>
      </w:r>
      <w:r>
        <w:rPr>
          <w:rFonts w:hint="eastAsia" w:ascii="仿宋_GB2312" w:hAnsi="仿宋_GB2312" w:eastAsia="仿宋_GB2312" w:cs="仿宋_GB2312"/>
          <w:sz w:val="32"/>
          <w:szCs w:val="32"/>
          <w:lang w:val="en-US" w:eastAsia="zh-CN"/>
        </w:rPr>
        <w:t>1095.04</w:t>
      </w:r>
      <w:r>
        <w:rPr>
          <w:rFonts w:hint="eastAsia" w:ascii="仿宋_GB2312" w:hAnsi="仿宋_GB2312" w:eastAsia="仿宋_GB2312" w:cs="仿宋_GB2312"/>
          <w:sz w:val="32"/>
          <w:szCs w:val="32"/>
        </w:rPr>
        <w:t>万元（本级财力</w:t>
      </w:r>
      <w:r>
        <w:rPr>
          <w:rFonts w:hint="eastAsia" w:ascii="仿宋_GB2312" w:hAnsi="仿宋_GB2312" w:eastAsia="仿宋_GB2312" w:cs="仿宋_GB2312"/>
          <w:sz w:val="32"/>
          <w:szCs w:val="32"/>
          <w:lang w:val="en-US" w:eastAsia="zh-CN"/>
        </w:rPr>
        <w:t>1095.04</w:t>
      </w:r>
      <w:r>
        <w:rPr>
          <w:rFonts w:hint="eastAsia" w:ascii="仿宋_GB2312" w:hAnsi="仿宋_GB2312" w:eastAsia="仿宋_GB2312" w:cs="仿宋_GB2312"/>
          <w:sz w:val="32"/>
          <w:szCs w:val="32"/>
        </w:rPr>
        <w:t>万元，专项收入0万元，执法办案补助0万元，收费成本补偿0万元，财政专户管理的收入0万元，国有资源（资产）有偿使用收入0万元），政府性基金财政拨款0万元，国有资本经营收益财政拨款0万元。</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四、预算单位支出情况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2018年中国共产党禄劝彝族苗族自治县委员会</w:t>
      </w:r>
      <w:r>
        <w:rPr>
          <w:rFonts w:hint="eastAsia" w:ascii="仿宋_GB2312" w:hAnsi="仿宋_GB2312" w:eastAsia="仿宋_GB2312" w:cs="仿宋_GB2312"/>
          <w:sz w:val="32"/>
          <w:szCs w:val="32"/>
          <w:lang w:eastAsia="zh-CN"/>
        </w:rPr>
        <w:t>组织部部</w:t>
      </w:r>
      <w:r>
        <w:rPr>
          <w:rFonts w:hint="eastAsia" w:ascii="仿宋_GB2312" w:hAnsi="仿宋_GB2312" w:eastAsia="仿宋_GB2312" w:cs="仿宋_GB2312"/>
          <w:sz w:val="32"/>
          <w:szCs w:val="32"/>
        </w:rPr>
        <w:t>门预算总支出</w:t>
      </w:r>
      <w:r>
        <w:rPr>
          <w:rFonts w:hint="eastAsia" w:ascii="仿宋_GB2312" w:hAnsi="仿宋_GB2312" w:eastAsia="仿宋_GB2312" w:cs="仿宋_GB2312"/>
          <w:sz w:val="32"/>
          <w:szCs w:val="32"/>
          <w:lang w:val="en-US" w:eastAsia="zh-CN"/>
        </w:rPr>
        <w:t>1095.04</w:t>
      </w:r>
      <w:r>
        <w:rPr>
          <w:rFonts w:hint="eastAsia" w:ascii="仿宋_GB2312" w:hAnsi="仿宋_GB2312" w:eastAsia="仿宋_GB2312" w:cs="仿宋_GB2312"/>
          <w:sz w:val="32"/>
          <w:szCs w:val="32"/>
        </w:rPr>
        <w:t>万元，其中：基本支出322.04万元，占总支出的29.4％，项目支出773万元，占总支出的70.6％。按支出功能科目分类，一般公共服务支出244.7万元；社会保障和就业支出65.9万元；住房保障支出21.4万元。</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 基本支出情况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018年用于保障单位正常运转的日常支出1095.04万元，包括基本工资，津贴补贴等工资福利支出290.5万元，占基本支出的90.2％；办公经费、印刷费、水电费、汽燃费、办公设备购置等日常公用经费（商品和服务支出）31万元，占基本支出的9.6％。</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 项目支出情况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2018年部门预算项目支出773万元。与上年相比增加90万元，原因是本年两区三个乡镇划归禄劝，老党员定补等全部纳入预算。</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(三）机关运行经费安排情况说明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2018年办公经费、印刷费、水电费、汽燃费、办公设备购置等日常公用经费（商品和服务支出）31万元，占基本支出的9.6％。</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五、市对下专项转移支付情况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320" w:firstLineChars="100"/>
        <w:textAlignment w:val="auto"/>
        <w:outlineLvl w:val="9"/>
        <w:rPr>
          <w:rFonts w:hint="eastAsia"/>
          <w:sz w:val="32"/>
          <w:szCs w:val="32"/>
          <w:lang w:eastAsia="zh-CN"/>
        </w:rPr>
      </w:pPr>
      <w:r>
        <w:rPr>
          <w:rFonts w:hint="eastAsia"/>
          <w:sz w:val="32"/>
          <w:szCs w:val="32"/>
          <w:lang w:eastAsia="zh-CN"/>
        </w:rPr>
        <w:t>无。</w:t>
      </w:r>
    </w:p>
    <w:p>
      <w:pPr>
        <w:numPr>
          <w:ilvl w:val="0"/>
          <w:numId w:val="0"/>
        </w:numPr>
        <w:ind w:leftChars="200" w:firstLine="320" w:firstLineChars="100"/>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政府采购预算情况</w:t>
      </w:r>
    </w:p>
    <w:p>
      <w:pPr>
        <w:keepNext w:val="0"/>
        <w:keepLines w:val="0"/>
        <w:pageBreakBefore w:val="0"/>
        <w:widowControl w:val="0"/>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eastAsia"/>
          <w:sz w:val="32"/>
          <w:szCs w:val="32"/>
        </w:rPr>
      </w:pPr>
      <w:r>
        <w:rPr>
          <w:rFonts w:hint="eastAsia" w:ascii="仿宋_GB2312" w:hAnsi="仿宋_GB2312" w:eastAsia="仿宋_GB2312" w:cs="仿宋_GB2312"/>
          <w:sz w:val="32"/>
          <w:szCs w:val="32"/>
        </w:rPr>
        <w:t xml:space="preserve"> 本年度无政府采购预算安排。</w:t>
      </w:r>
      <w:r>
        <w:rPr>
          <w:rFonts w:hint="eastAsia"/>
          <w:sz w:val="32"/>
          <w:szCs w:val="32"/>
        </w:rPr>
        <w:br w:type="textWrapping"/>
      </w:r>
      <w:r>
        <w:rPr>
          <w:rFonts w:hint="eastAsia" w:ascii="黑体" w:hAnsi="黑体" w:eastAsia="黑体" w:cs="黑体"/>
          <w:sz w:val="32"/>
          <w:szCs w:val="32"/>
          <w:lang w:eastAsia="zh-CN"/>
        </w:rPr>
        <w:t>七、预算收支增减变化情况说明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2018年部门预算项目支出773万元。与上年相比增加90万元，原因是本年两区三个乡镇划归禄劝，老党员定补等全部纳入预算。</w:t>
      </w:r>
    </w:p>
    <w:p>
      <w:pPr>
        <w:keepNext w:val="0"/>
        <w:keepLines w:val="0"/>
        <w:pageBreakBefore w:val="0"/>
        <w:widowControl w:val="0"/>
        <w:kinsoku/>
        <w:wordWrap/>
        <w:overflowPunct/>
        <w:topLinePunct w:val="0"/>
        <w:autoSpaceDE/>
        <w:autoSpaceDN/>
        <w:bidi w:val="0"/>
        <w:adjustRightInd/>
        <w:snapToGrid/>
        <w:spacing w:line="560" w:lineRule="exact"/>
        <w:ind w:left="958" w:leftChars="304" w:right="0" w:rightChars="0" w:hanging="320" w:hangingChars="100"/>
        <w:textAlignment w:val="auto"/>
        <w:outlineLvl w:val="9"/>
        <w:rPr>
          <w:rFonts w:hint="eastAsia" w:ascii="黑体" w:hAnsi="黑体" w:eastAsia="黑体" w:cs="黑体"/>
          <w:sz w:val="32"/>
          <w:szCs w:val="32"/>
        </w:rPr>
      </w:pPr>
      <w:r>
        <w:rPr>
          <w:rFonts w:hint="eastAsia" w:ascii="黑体" w:hAnsi="黑体" w:eastAsia="黑体" w:cs="黑体"/>
          <w:sz w:val="32"/>
          <w:szCs w:val="32"/>
        </w:rPr>
        <w:t>八、其他公开信息</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专业名词解释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项目支出：指在基本支出之外为完成特定行政任务和事业发展目标所发生的支出。</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“三公”经费安排情况及增减变化原因说明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公务用车购置及运行维护费预算0.6万元。其中：公务用车购置0万元，购置车辆0辆。公务用车运行维护0.6万元，均为公务用车车辆运行费，包括燃料费、修理费、过路过桥费、保险等支出，用于保障日常公务。开支财政拨款的公务用车保有量为1辆。主要用于用于保障日常公务。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2.公务接待费无预算。</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3.因公出国（境）费无预算。</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2018年“三公”经费预算与2017年经费预算一样，无增减变化，原因为本部的公车数量无变化，县财政保障的定额标准未变化。</w:t>
      </w:r>
    </w:p>
    <w:p>
      <w:pPr>
        <w:numPr>
          <w:ilvl w:val="0"/>
          <w:numId w:val="2"/>
        </w:numPr>
        <w:ind w:left="0" w:firstLine="640" w:firstLineChars="200"/>
        <w:jc w:val="left"/>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国有资产占用情况说明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部门/单位固定资产期末账面数原值89.06万元，累计折旧0万元，净值89.06万元，其中：土地、房屋及构筑物0万元，占固定资产的0%；通用设备81.31万元，占91.3%；专用设备0万元，占0%；文物和陈列品0万元，占0%；图书档案0万元，占0%；家具、用具、装具及动植物7.74万元，占8.7%。</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固定资产构成情况表：</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单位:万元</w:t>
      </w:r>
    </w:p>
    <w:tbl>
      <w:tblPr>
        <w:tblStyle w:val="2"/>
        <w:tblW w:w="8448" w:type="dxa"/>
        <w:jc w:val="center"/>
        <w:tblLayout w:type="fixed"/>
        <w:tblCellMar>
          <w:top w:w="0" w:type="dxa"/>
          <w:left w:w="108" w:type="dxa"/>
          <w:bottom w:w="0" w:type="dxa"/>
          <w:right w:w="108" w:type="dxa"/>
        </w:tblCellMar>
      </w:tblPr>
      <w:tblGrid>
        <w:gridCol w:w="2304"/>
        <w:gridCol w:w="1536"/>
        <w:gridCol w:w="1536"/>
        <w:gridCol w:w="1536"/>
        <w:gridCol w:w="1536"/>
      </w:tblGrid>
      <w:tr>
        <w:tblPrEx>
          <w:tblCellMar>
            <w:top w:w="0" w:type="dxa"/>
            <w:left w:w="108" w:type="dxa"/>
            <w:bottom w:w="0" w:type="dxa"/>
            <w:right w:w="108" w:type="dxa"/>
          </w:tblCellMar>
        </w:tblPrEx>
        <w:trPr>
          <w:trHeight w:val="256" w:hRule="atLeast"/>
          <w:jc w:val="center"/>
        </w:trPr>
        <w:tc>
          <w:tcPr>
            <w:tcW w:w="2304"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固定资产类别</w:t>
            </w:r>
          </w:p>
        </w:tc>
        <w:tc>
          <w:tcPr>
            <w:tcW w:w="6144" w:type="dxa"/>
            <w:gridSpan w:val="4"/>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期末账面数</w:t>
            </w:r>
          </w:p>
        </w:tc>
      </w:tr>
      <w:tr>
        <w:tblPrEx>
          <w:tblCellMar>
            <w:top w:w="0" w:type="dxa"/>
            <w:left w:w="108" w:type="dxa"/>
            <w:bottom w:w="0" w:type="dxa"/>
            <w:right w:w="108" w:type="dxa"/>
          </w:tblCellMar>
        </w:tblPrEx>
        <w:trPr>
          <w:jc w:val="center"/>
        </w:trPr>
        <w:tc>
          <w:tcPr>
            <w:tcW w:w="2304"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left"/>
            </w:pP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数量</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原值</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净值</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净值占比</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合计</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890,570.00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890,570.00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一、 土地、房屋及构筑物</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其中：房屋</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二、 通用设备</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31</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813,130.00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813,130.00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91.3%</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其中：1.车辆</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3</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560,000.00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560,000.00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62.88%</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2.单价50万（含）以上（不含车辆）</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三、 专用设备</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其中：单价100万（含）以上</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四、 文物和陈列品</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其中：文物</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五、图书档案</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0%</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六、 家具、用具、装具及动植物</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102</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77,440.00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77,440.00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8.7%</w:t>
            </w:r>
          </w:p>
        </w:tc>
      </w:tr>
      <w:tr>
        <w:tblPrEx>
          <w:tblCellMar>
            <w:top w:w="0" w:type="dxa"/>
            <w:left w:w="108" w:type="dxa"/>
            <w:bottom w:w="0" w:type="dxa"/>
            <w:right w:w="108" w:type="dxa"/>
          </w:tblCellMar>
        </w:tblPrEx>
        <w:trPr>
          <w:jc w:val="center"/>
        </w:trPr>
        <w:tc>
          <w:tcPr>
            <w:tcW w:w="2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其中：家具用具</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102</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77,440.00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77,440.00</w:t>
            </w:r>
          </w:p>
        </w:tc>
        <w:tc>
          <w:tcPr>
            <w:tcW w:w="1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vAlign w:val="center"/>
          </w:tcPr>
          <w:p>
            <w:pPr>
              <w:ind w:left="0" w:firstLine="0"/>
              <w:jc w:val="center"/>
            </w:pPr>
            <w:r>
              <w:rPr>
                <w:rFonts w:hint="eastAsia" w:ascii="宋体" w:eastAsia="宋体" w:hAnsiTheme="minorEastAsia"/>
                <w:color w:val="000000"/>
                <w:sz w:val="24"/>
              </w:rPr>
              <w:t xml:space="preserve"> 8.7%</w:t>
            </w: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righ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中国共产党禄劝彝族苗族自治县委员会</w:t>
      </w:r>
      <w:r>
        <w:rPr>
          <w:rFonts w:hint="eastAsia" w:ascii="仿宋_GB2312" w:hAnsi="仿宋_GB2312" w:eastAsia="仿宋_GB2312" w:cs="仿宋_GB2312"/>
          <w:sz w:val="32"/>
          <w:szCs w:val="32"/>
          <w:lang w:eastAsia="zh-CN"/>
        </w:rPr>
        <w:t>组织部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righ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2018年2月27日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roma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966A8B"/>
    <w:multiLevelType w:val="singleLevel"/>
    <w:tmpl w:val="5A966A8B"/>
    <w:lvl w:ilvl="0" w:tentative="0">
      <w:start w:val="1"/>
      <w:numFmt w:val="chineseCounting"/>
      <w:suff w:val="nothing"/>
      <w:lvlText w:val="(%1)"/>
      <w:lvlJc w:val="left"/>
    </w:lvl>
  </w:abstractNum>
  <w:abstractNum w:abstractNumId="1">
    <w:nsid w:val="5C6FB794"/>
    <w:multiLevelType w:val="singleLevel"/>
    <w:tmpl w:val="5C6FB794"/>
    <w:lvl w:ilvl="0" w:tentative="0">
      <w:start w:val="3"/>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FA65FC"/>
    <w:rsid w:val="046027E9"/>
    <w:rsid w:val="04870665"/>
    <w:rsid w:val="05A13E33"/>
    <w:rsid w:val="0E412863"/>
    <w:rsid w:val="0F275BC5"/>
    <w:rsid w:val="13A52065"/>
    <w:rsid w:val="144D653A"/>
    <w:rsid w:val="152266B6"/>
    <w:rsid w:val="156202B7"/>
    <w:rsid w:val="182C6A23"/>
    <w:rsid w:val="19B97697"/>
    <w:rsid w:val="1F884705"/>
    <w:rsid w:val="204B726C"/>
    <w:rsid w:val="21E0796C"/>
    <w:rsid w:val="2A2E5932"/>
    <w:rsid w:val="2C974506"/>
    <w:rsid w:val="2E580958"/>
    <w:rsid w:val="324F1051"/>
    <w:rsid w:val="333249BD"/>
    <w:rsid w:val="346169CB"/>
    <w:rsid w:val="392D00B3"/>
    <w:rsid w:val="3A7B5F72"/>
    <w:rsid w:val="3AF73029"/>
    <w:rsid w:val="3C9D24C5"/>
    <w:rsid w:val="3D2659B0"/>
    <w:rsid w:val="48C73C6E"/>
    <w:rsid w:val="4C702372"/>
    <w:rsid w:val="501D03DC"/>
    <w:rsid w:val="53575FCB"/>
    <w:rsid w:val="55837A62"/>
    <w:rsid w:val="5C183093"/>
    <w:rsid w:val="5D3D38DF"/>
    <w:rsid w:val="5EB6414E"/>
    <w:rsid w:val="6101334E"/>
    <w:rsid w:val="67DD40C9"/>
    <w:rsid w:val="68581BA4"/>
    <w:rsid w:val="708C60C0"/>
    <w:rsid w:val="71F262FF"/>
    <w:rsid w:val="73154B35"/>
    <w:rsid w:val="76FE7AC1"/>
    <w:rsid w:val="77FA0834"/>
    <w:rsid w:val="79183B20"/>
    <w:rsid w:val="7A084470"/>
    <w:rsid w:val="7DCE69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张仕芬</cp:lastModifiedBy>
  <dcterms:modified xsi:type="dcterms:W3CDTF">2020-07-13T01:21:36Z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