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jc w:val="center"/>
        <w:rPr>
          <w:rFonts w:ascii="方正大标宋简体" w:eastAsia="方正大标宋简体"/>
          <w:b/>
          <w:bCs/>
          <w:color w:val="FF0000"/>
          <w:spacing w:val="20"/>
          <w:sz w:val="96"/>
          <w:szCs w:val="96"/>
        </w:rPr>
      </w:pPr>
      <w:bookmarkStart w:id="0" w:name="_GoBack"/>
      <w:bookmarkEnd w:id="0"/>
      <w:r>
        <w:rPr>
          <w:rFonts w:hint="eastAsia" w:ascii="方正大标宋简体" w:eastAsia="方正大标宋简体" w:cs="方正小标宋简体"/>
          <w:b/>
          <w:bCs/>
          <w:color w:val="FF0000"/>
          <w:spacing w:val="20"/>
          <w:sz w:val="96"/>
          <w:szCs w:val="96"/>
        </w:rPr>
        <w:t>统计与经济信息</w:t>
      </w:r>
    </w:p>
    <w:p>
      <w:pPr>
        <w:spacing w:line="600" w:lineRule="exact"/>
        <w:jc w:val="center"/>
        <w:rPr>
          <w:rFonts w:ascii="宋体" w:cs="宋体"/>
          <w:sz w:val="28"/>
          <w:szCs w:val="28"/>
        </w:rPr>
      </w:pPr>
    </w:p>
    <w:p>
      <w:pPr>
        <w:spacing w:line="600" w:lineRule="exact"/>
        <w:jc w:val="center"/>
        <w:rPr>
          <w:rFonts w:ascii="楷体_GB2312" w:eastAsia="楷体_GB2312" w:cs="宋体"/>
          <w:color w:val="FF0000"/>
          <w:sz w:val="30"/>
          <w:szCs w:val="30"/>
        </w:rPr>
      </w:pPr>
      <w:r>
        <w:rPr>
          <w:rFonts w:ascii="楷体_GB2312" w:eastAsia="楷体_GB2312" w:cs="宋体"/>
          <w:color w:val="FF0000"/>
          <w:sz w:val="30"/>
          <w:szCs w:val="30"/>
        </w:rPr>
        <w:t>2018</w:t>
      </w:r>
      <w:r>
        <w:rPr>
          <w:rFonts w:hint="eastAsia" w:ascii="楷体_GB2312" w:eastAsia="楷体_GB2312" w:cs="宋体"/>
          <w:color w:val="FF0000"/>
          <w:sz w:val="30"/>
          <w:szCs w:val="30"/>
        </w:rPr>
        <w:t>第（</w:t>
      </w:r>
      <w:r>
        <w:rPr>
          <w:rFonts w:ascii="楷体_GB2312" w:eastAsia="楷体_GB2312" w:cs="宋体"/>
          <w:color w:val="FF0000"/>
          <w:sz w:val="30"/>
          <w:szCs w:val="30"/>
        </w:rPr>
        <w:t>8</w:t>
      </w:r>
      <w:r>
        <w:rPr>
          <w:rFonts w:hint="eastAsia" w:ascii="楷体_GB2312" w:eastAsia="楷体_GB2312" w:cs="宋体"/>
          <w:color w:val="FF0000"/>
          <w:sz w:val="30"/>
          <w:szCs w:val="30"/>
        </w:rPr>
        <w:t>）期</w:t>
      </w:r>
    </w:p>
    <w:p>
      <w:pPr>
        <w:spacing w:line="600" w:lineRule="exact"/>
        <w:jc w:val="center"/>
        <w:rPr>
          <w:rFonts w:ascii="宋体"/>
          <w:color w:val="FF0000"/>
          <w:sz w:val="28"/>
          <w:szCs w:val="28"/>
        </w:rPr>
      </w:pPr>
    </w:p>
    <w:p>
      <w:pPr>
        <w:spacing w:line="600" w:lineRule="exact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hint="eastAsia" w:ascii="楷体_GB2312" w:eastAsia="楷体_GB2312" w:cs="方正小标宋简体"/>
          <w:b/>
          <w:color w:val="FF0000"/>
          <w:sz w:val="28"/>
          <w:szCs w:val="28"/>
        </w:rPr>
        <w:t>禄劝彝族苗族自治县统计局办公室</w:t>
      </w:r>
      <w:r>
        <w:rPr>
          <w:rFonts w:ascii="楷体_GB2312" w:eastAsia="楷体_GB2312" w:cs="宋体"/>
          <w:b/>
          <w:color w:val="FF0000"/>
          <w:sz w:val="28"/>
          <w:szCs w:val="28"/>
        </w:rPr>
        <w:t xml:space="preserve">               2018</w:t>
      </w:r>
      <w:r>
        <w:rPr>
          <w:rFonts w:hint="eastAsia" w:ascii="楷体_GB2312" w:eastAsia="楷体_GB2312" w:cs="宋体"/>
          <w:b/>
          <w:color w:val="FF0000"/>
          <w:sz w:val="28"/>
          <w:szCs w:val="28"/>
        </w:rPr>
        <w:t>年</w:t>
      </w:r>
      <w:r>
        <w:rPr>
          <w:rFonts w:ascii="楷体_GB2312" w:eastAsia="楷体_GB2312" w:cs="宋体"/>
          <w:b/>
          <w:color w:val="FF0000"/>
          <w:sz w:val="28"/>
          <w:szCs w:val="28"/>
        </w:rPr>
        <w:t>6</w:t>
      </w:r>
      <w:r>
        <w:rPr>
          <w:rFonts w:hint="eastAsia" w:ascii="楷体_GB2312" w:eastAsia="楷体_GB2312" w:cs="宋体"/>
          <w:b/>
          <w:color w:val="FF0000"/>
          <w:sz w:val="28"/>
          <w:szCs w:val="28"/>
        </w:rPr>
        <w:t>月</w:t>
      </w:r>
      <w:r>
        <w:rPr>
          <w:rFonts w:ascii="楷体_GB2312" w:eastAsia="楷体_GB2312" w:cs="宋体"/>
          <w:b/>
          <w:color w:val="FF0000"/>
          <w:sz w:val="28"/>
          <w:szCs w:val="28"/>
        </w:rPr>
        <w:t>25</w:t>
      </w:r>
      <w:r>
        <w:rPr>
          <w:rFonts w:hint="eastAsia" w:ascii="楷体_GB2312" w:eastAsia="楷体_GB2312" w:cs="宋体"/>
          <w:b/>
          <w:color w:val="FF0000"/>
          <w:sz w:val="28"/>
          <w:szCs w:val="28"/>
        </w:rPr>
        <w:t>日</w:t>
      </w:r>
    </w:p>
    <w:p>
      <w:pPr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32pt;z-index:251656192;mso-width-relative:page;mso-height-relative:page;" filled="f" stroked="t" coordsize="21600,21600" o:gfxdata="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qVzrdEAAAACAQAADwAAAAAAAAABACAAAAAiAAAAZHJzL2Rvd25yZXYueG1s&#10;UEsBAhQAFAAAAAgAh07iQGyYgf3GAQAAmgMAAA4AAAAAAAAAAQAgAAAAIAEAAGRycy9lMm9Eb2Mu&#10;eG1sUEsFBgAAAAAGAAYAWQEAAFg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41pt;z-index:251657216;mso-width-relative:page;mso-height-relative:page;" filled="f" stroked="t" coordsize="21600,21600" o:gfxdata="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EwArRAAAAAgEAAA8AAAAAAAAAAQAgAAAAIgAAAGRycy9kb3ducmV2&#10;LnhtbFBLAQIUABQAAAAIAIdO4kCWKvcqygEAAJoDAAAOAAAAAAAAAAEAIAAAACABAABkcnMvZTJv&#10;RG9jLnhtbFBLBQYAAAAABgAGAFkBAABc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32"/>
        </w:rPr>
        <w:t xml:space="preserve">       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 xml:space="preserve"> </w:t>
      </w:r>
    </w:p>
    <w:p>
      <w:pPr>
        <w:spacing w:line="740" w:lineRule="exact"/>
        <w:jc w:val="center"/>
        <w:rPr>
          <w:rFonts w:ascii="Times New Roman" w:hAnsi="Times New Roman" w:eastAsia="方正小标宋简体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禄劝</w:t>
      </w:r>
      <w:r>
        <w:rPr>
          <w:rFonts w:ascii="Times New Roman" w:hAnsi="Times New Roman" w:eastAsia="方正小标宋简体"/>
          <w:sz w:val="44"/>
          <w:szCs w:val="44"/>
        </w:rPr>
        <w:t>1-5</w:t>
      </w:r>
      <w:r>
        <w:rPr>
          <w:rFonts w:hint="eastAsia" w:ascii="Times New Roman" w:hAnsi="Times New Roman" w:eastAsia="方正小标宋简体"/>
          <w:sz w:val="44"/>
          <w:szCs w:val="44"/>
        </w:rPr>
        <w:t>月经济运行情况分析</w:t>
      </w:r>
    </w:p>
    <w:p>
      <w:pPr>
        <w:rPr>
          <w:rFonts w:ascii="Times New Roman" w:hAnsi="Times New Roman"/>
        </w:rPr>
      </w:pPr>
    </w:p>
    <w:p>
      <w:pPr>
        <w:ind w:firstLine="643" w:firstLineChars="200"/>
        <w:rPr>
          <w:rFonts w:ascii="Times New Roman" w:hAnsi="Times New Roman" w:eastAsia="黑体"/>
          <w:b/>
          <w:bCs/>
        </w:rPr>
      </w:pPr>
      <w:r>
        <w:rPr>
          <w:rFonts w:hint="eastAsia" w:ascii="Times New Roman" w:hAnsi="黑体" w:eastAsia="黑体"/>
          <w:b/>
          <w:bCs/>
        </w:rPr>
        <w:t>一、主要指标完成情况</w:t>
      </w:r>
    </w:p>
    <w:p>
      <w:pPr>
        <w:ind w:firstLine="643" w:firstLineChars="200"/>
        <w:rPr>
          <w:rFonts w:ascii="Times New Roman" w:hAnsi="Times New Roman" w:eastAsia="楷体"/>
          <w:b/>
          <w:bCs/>
        </w:rPr>
      </w:pPr>
      <w:r>
        <w:rPr>
          <w:rFonts w:hint="eastAsia" w:ascii="Times New Roman" w:hAnsi="Times New Roman" w:eastAsia="楷体"/>
          <w:b/>
          <w:bCs/>
        </w:rPr>
        <w:t>（一）工业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1—5</w:t>
      </w:r>
      <w:r>
        <w:rPr>
          <w:rFonts w:hint="eastAsia" w:ascii="Times New Roman" w:hAnsi="Times New Roman"/>
        </w:rPr>
        <w:t>月，</w:t>
      </w:r>
      <w:r>
        <w:rPr>
          <w:rFonts w:hint="eastAsia" w:ascii="Times New Roman" w:hAnsi="Times New Roman"/>
          <w:kern w:val="0"/>
          <w:szCs w:val="32"/>
          <w:lang w:val="zh-CN"/>
        </w:rPr>
        <w:t>规模以上工业总产值累计完成</w:t>
      </w:r>
      <w:r>
        <w:rPr>
          <w:rFonts w:ascii="Times New Roman" w:hAnsi="Times New Roman"/>
          <w:kern w:val="0"/>
          <w:szCs w:val="32"/>
        </w:rPr>
        <w:t>63739</w:t>
      </w:r>
      <w:r>
        <w:rPr>
          <w:rFonts w:hint="eastAsia" w:ascii="Times New Roman" w:hAnsi="Times New Roman"/>
          <w:kern w:val="0"/>
          <w:szCs w:val="32"/>
          <w:lang w:val="zh-CN"/>
        </w:rPr>
        <w:t>万元，同比下降</w:t>
      </w:r>
      <w:r>
        <w:rPr>
          <w:rFonts w:ascii="Times New Roman" w:hAnsi="Times New Roman"/>
          <w:kern w:val="0"/>
          <w:szCs w:val="32"/>
        </w:rPr>
        <w:t>6.88</w:t>
      </w:r>
      <w:r>
        <w:rPr>
          <w:rFonts w:ascii="Times New Roman" w:hAnsi="Times New Roman"/>
          <w:kern w:val="0"/>
          <w:szCs w:val="32"/>
          <w:lang w:val="zh-CN"/>
        </w:rPr>
        <w:t>%</w:t>
      </w:r>
      <w:r>
        <w:rPr>
          <w:rFonts w:hint="eastAsia" w:ascii="Times New Roman" w:hAnsi="Times New Roman"/>
          <w:kern w:val="0"/>
          <w:szCs w:val="32"/>
        </w:rPr>
        <w:t>；</w:t>
      </w:r>
      <w:r>
        <w:rPr>
          <w:rFonts w:hint="eastAsia" w:ascii="Times New Roman" w:hAnsi="Times New Roman"/>
        </w:rPr>
        <w:t>规模以上工业增加值同比下降</w:t>
      </w:r>
      <w:r>
        <w:rPr>
          <w:rFonts w:ascii="Times New Roman" w:hAnsi="Times New Roman"/>
        </w:rPr>
        <w:t>1.8%</w:t>
      </w:r>
      <w:r>
        <w:rPr>
          <w:rFonts w:hint="eastAsia" w:ascii="Times New Roman" w:hAnsi="Times New Roman"/>
        </w:rPr>
        <w:t>。</w:t>
      </w:r>
    </w:p>
    <w:p>
      <w:pPr>
        <w:ind w:firstLine="643" w:firstLineChars="200"/>
        <w:rPr>
          <w:rFonts w:ascii="Times New Roman" w:hAnsi="Times New Roman" w:eastAsia="楷体"/>
          <w:b/>
          <w:bCs/>
        </w:rPr>
      </w:pPr>
      <w:r>
        <w:rPr>
          <w:rFonts w:hint="eastAsia" w:ascii="Times New Roman" w:hAnsi="Times New Roman" w:eastAsia="楷体"/>
          <w:b/>
          <w:bCs/>
        </w:rPr>
        <w:t>（二）固定资产投资</w:t>
      </w:r>
    </w:p>
    <w:p>
      <w:pPr>
        <w:ind w:firstLine="640" w:firstLineChars="20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</w:rPr>
        <w:t>1—5</w:t>
      </w:r>
      <w:r>
        <w:rPr>
          <w:rFonts w:hint="eastAsia" w:ascii="Times New Roman" w:hAnsi="Times New Roman"/>
        </w:rPr>
        <w:t>月，全县规模以上固定资产投资预计完成</w:t>
      </w:r>
      <w:r>
        <w:rPr>
          <w:rFonts w:ascii="Times New Roman" w:hAnsi="Times New Roman"/>
        </w:rPr>
        <w:t>24.9</w:t>
      </w:r>
      <w:r>
        <w:rPr>
          <w:rFonts w:hint="eastAsia" w:ascii="Times New Roman" w:hAnsi="Times New Roman"/>
        </w:rPr>
        <w:t>亿元，同比下降</w:t>
      </w:r>
      <w:r>
        <w:rPr>
          <w:rFonts w:ascii="Times New Roman" w:hAnsi="Times New Roman"/>
        </w:rPr>
        <w:t>58.3%</w:t>
      </w:r>
      <w:r>
        <w:rPr>
          <w:rFonts w:hint="eastAsia" w:ascii="Times New Roman" w:hAnsi="Times New Roman"/>
        </w:rPr>
        <w:t>。</w:t>
      </w:r>
    </w:p>
    <w:p>
      <w:pPr>
        <w:ind w:firstLine="469" w:firstLineChars="146"/>
        <w:rPr>
          <w:rFonts w:ascii="Times New Roman" w:hAnsi="Times New Roman" w:eastAsia="楷体"/>
          <w:b/>
          <w:bCs/>
        </w:rPr>
      </w:pPr>
      <w:r>
        <w:rPr>
          <w:rFonts w:hint="eastAsia" w:ascii="Times New Roman" w:hAnsi="Times New Roman" w:eastAsia="楷体"/>
          <w:b/>
          <w:bCs/>
        </w:rPr>
        <w:t>（三）社会消费品零售总额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1—5</w:t>
      </w:r>
      <w:r>
        <w:rPr>
          <w:rFonts w:hint="eastAsia" w:ascii="Times New Roman" w:hAnsi="Times New Roman"/>
        </w:rPr>
        <w:t>月，限额以上贸易业在库企业</w:t>
      </w:r>
      <w:r>
        <w:rPr>
          <w:rFonts w:ascii="Times New Roman" w:hAnsi="Times New Roman"/>
        </w:rPr>
        <w:t>33</w:t>
      </w:r>
      <w:r>
        <w:rPr>
          <w:rFonts w:hint="eastAsia" w:ascii="Times New Roman" w:hAnsi="Times New Roman"/>
        </w:rPr>
        <w:t>户，累计完成社会消费品零售额（限额以上）</w:t>
      </w:r>
      <w:r>
        <w:rPr>
          <w:rFonts w:ascii="Times New Roman" w:hAnsi="Times New Roman"/>
        </w:rPr>
        <w:t>20952.9</w:t>
      </w:r>
      <w:r>
        <w:rPr>
          <w:rFonts w:hint="eastAsia" w:ascii="Times New Roman" w:hAnsi="Times New Roman"/>
        </w:rPr>
        <w:t>万元，同比增长</w:t>
      </w:r>
      <w:r>
        <w:rPr>
          <w:rFonts w:ascii="Times New Roman" w:hAnsi="Times New Roman"/>
        </w:rPr>
        <w:t>13.9%</w:t>
      </w:r>
      <w:r>
        <w:rPr>
          <w:rFonts w:hint="eastAsia" w:ascii="Times New Roman" w:hAnsi="Times New Roman"/>
        </w:rPr>
        <w:t>。</w:t>
      </w:r>
    </w:p>
    <w:p>
      <w:pPr>
        <w:ind w:firstLine="643" w:firstLineChars="200"/>
        <w:rPr>
          <w:rFonts w:ascii="Times New Roman" w:hAnsi="Times New Roman" w:eastAsia="楷体_GB2312"/>
          <w:b/>
          <w:szCs w:val="32"/>
        </w:rPr>
      </w:pPr>
      <w:r>
        <w:rPr>
          <w:rFonts w:hint="eastAsia" w:ascii="Times New Roman" w:hAnsi="Times New Roman" w:eastAsia="楷体_GB2312"/>
          <w:b/>
          <w:szCs w:val="32"/>
        </w:rPr>
        <w:t>（四）财政</w:t>
      </w:r>
    </w:p>
    <w:p>
      <w:pPr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>1—5</w:t>
      </w:r>
      <w:r>
        <w:rPr>
          <w:rFonts w:hint="eastAsia" w:ascii="Times New Roman" w:hAnsi="Times New Roman"/>
        </w:rPr>
        <w:t>月，全县完成地方财政总收入</w:t>
      </w:r>
      <w:r>
        <w:rPr>
          <w:rFonts w:ascii="Times New Roman" w:hAnsi="Times New Roman"/>
        </w:rPr>
        <w:t>32304</w:t>
      </w:r>
      <w:r>
        <w:rPr>
          <w:rFonts w:hint="eastAsia" w:ascii="Times New Roman" w:hAnsi="Times New Roman"/>
        </w:rPr>
        <w:t>万元，同比下降</w:t>
      </w:r>
      <w:r>
        <w:rPr>
          <w:rFonts w:ascii="Times New Roman" w:hAnsi="Times New Roman"/>
        </w:rPr>
        <w:t>3.1%</w:t>
      </w:r>
      <w:r>
        <w:rPr>
          <w:rFonts w:hint="eastAsia" w:ascii="Times New Roman" w:hAnsi="Times New Roman"/>
        </w:rPr>
        <w:t>。一般公共预算收入完成</w:t>
      </w:r>
      <w:r>
        <w:rPr>
          <w:rFonts w:ascii="Times New Roman" w:hAnsi="Times New Roman"/>
        </w:rPr>
        <w:t>18520 </w:t>
      </w:r>
      <w:r>
        <w:rPr>
          <w:rFonts w:hint="eastAsia" w:ascii="Times New Roman" w:hAnsi="Times New Roman"/>
        </w:rPr>
        <w:t>万元，同比下降</w:t>
      </w:r>
      <w:r>
        <w:rPr>
          <w:rFonts w:ascii="Times New Roman" w:hAnsi="Times New Roman"/>
        </w:rPr>
        <w:t>1.7%</w:t>
      </w:r>
      <w:r>
        <w:rPr>
          <w:rFonts w:hint="eastAsia" w:ascii="Times New Roman" w:hAnsi="Times New Roman"/>
        </w:rPr>
        <w:t>，其中：税收收入下降</w:t>
      </w:r>
      <w:r>
        <w:rPr>
          <w:rFonts w:ascii="Times New Roman" w:hAnsi="Times New Roman"/>
        </w:rPr>
        <w:t>7.5%</w:t>
      </w:r>
      <w:r>
        <w:rPr>
          <w:rFonts w:hint="eastAsia" w:ascii="Times New Roman" w:hAnsi="Times New Roman"/>
        </w:rPr>
        <w:t>，非税收入增长</w:t>
      </w:r>
      <w:r>
        <w:rPr>
          <w:rFonts w:ascii="Times New Roman" w:hAnsi="Times New Roman"/>
        </w:rPr>
        <w:t>7.8%</w:t>
      </w:r>
      <w:r>
        <w:rPr>
          <w:rFonts w:hint="eastAsia" w:ascii="Times New Roman" w:hAnsi="Times New Roman"/>
        </w:rPr>
        <w:t>；一般公共预算支出</w:t>
      </w:r>
      <w:r>
        <w:rPr>
          <w:rFonts w:ascii="Times New Roman" w:hAnsi="Times New Roman"/>
        </w:rPr>
        <w:t>160376</w:t>
      </w:r>
      <w:r>
        <w:rPr>
          <w:rFonts w:hint="eastAsia" w:ascii="Times New Roman" w:hAnsi="Times New Roman"/>
        </w:rPr>
        <w:t>万元，同比增长</w:t>
      </w:r>
      <w:r>
        <w:rPr>
          <w:rFonts w:ascii="Times New Roman" w:hAnsi="Times New Roman"/>
        </w:rPr>
        <w:t>30.5%</w:t>
      </w:r>
      <w:r>
        <w:rPr>
          <w:rFonts w:hint="eastAsia" w:ascii="Times New Roman" w:hAnsi="Times New Roman"/>
        </w:rPr>
        <w:t>。其中：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八项支出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合计</w:t>
      </w:r>
      <w:r>
        <w:rPr>
          <w:rFonts w:ascii="Times New Roman" w:hAnsi="Times New Roman"/>
        </w:rPr>
        <w:t>90873 </w:t>
      </w:r>
      <w:r>
        <w:rPr>
          <w:rFonts w:hint="eastAsia" w:ascii="Times New Roman" w:hAnsi="Times New Roman"/>
        </w:rPr>
        <w:t>万元，同比增长</w:t>
      </w:r>
      <w:r>
        <w:rPr>
          <w:rFonts w:ascii="Times New Roman" w:hAnsi="Times New Roman"/>
        </w:rPr>
        <w:t>19.9%</w:t>
      </w:r>
      <w:r>
        <w:rPr>
          <w:rFonts w:hint="eastAsia" w:ascii="Times New Roman" w:hAnsi="Times New Roman"/>
        </w:rPr>
        <w:t>。</w:t>
      </w:r>
    </w:p>
    <w:p>
      <w:pPr>
        <w:ind w:firstLine="643" w:firstLineChars="200"/>
        <w:rPr>
          <w:rFonts w:ascii="Times New Roman" w:hAnsi="Times New Roman" w:eastAsia="楷体_GB2312"/>
          <w:b/>
          <w:szCs w:val="32"/>
        </w:rPr>
      </w:pPr>
      <w:r>
        <w:rPr>
          <w:rFonts w:hint="eastAsia" w:ascii="Times New Roman" w:hAnsi="Times New Roman" w:eastAsia="楷体_GB2312"/>
          <w:b/>
          <w:szCs w:val="32"/>
        </w:rPr>
        <w:t>（五）金融</w:t>
      </w:r>
    </w:p>
    <w:p>
      <w:pPr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>1—5</w:t>
      </w:r>
      <w:r>
        <w:rPr>
          <w:rFonts w:hint="eastAsia" w:ascii="Times New Roman" w:hAnsi="Times New Roman"/>
        </w:rPr>
        <w:t>月，全县金融机构各项存款余额</w:t>
      </w:r>
      <w:r>
        <w:rPr>
          <w:rFonts w:ascii="Times New Roman" w:hAnsi="Times New Roman"/>
        </w:rPr>
        <w:t>1225192</w:t>
      </w:r>
      <w:r>
        <w:rPr>
          <w:rFonts w:hint="eastAsia" w:ascii="Times New Roman" w:hAnsi="Times New Roman"/>
        </w:rPr>
        <w:t>万元，同比增长</w:t>
      </w:r>
      <w:r>
        <w:rPr>
          <w:rFonts w:ascii="Times New Roman" w:hAnsi="Times New Roman"/>
        </w:rPr>
        <w:t>7.58%</w:t>
      </w:r>
      <w:r>
        <w:rPr>
          <w:rFonts w:hint="eastAsia" w:ascii="Times New Roman" w:hAnsi="Times New Roman"/>
        </w:rPr>
        <w:t>；各项贷款余额</w:t>
      </w:r>
      <w:r>
        <w:rPr>
          <w:rFonts w:ascii="Times New Roman" w:hAnsi="Times New Roman"/>
        </w:rPr>
        <w:t>1010228</w:t>
      </w:r>
      <w:r>
        <w:rPr>
          <w:rFonts w:hint="eastAsia" w:ascii="Times New Roman" w:hAnsi="Times New Roman"/>
        </w:rPr>
        <w:t>万元，同比增长</w:t>
      </w:r>
      <w:r>
        <w:rPr>
          <w:rFonts w:ascii="Times New Roman" w:hAnsi="Times New Roman"/>
        </w:rPr>
        <w:t>27.22%</w:t>
      </w:r>
      <w:r>
        <w:rPr>
          <w:rFonts w:hint="eastAsia" w:ascii="Times New Roman" w:hAnsi="Times New Roma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GDP</w:t>
      </w:r>
      <w:r>
        <w:rPr>
          <w:rFonts w:hint="eastAsia" w:ascii="Times New Roman" w:hAnsi="黑体" w:eastAsia="黑体"/>
        </w:rPr>
        <w:t>支撑性指标完成情况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39"/>
        <w:gridCol w:w="2720"/>
        <w:gridCol w:w="730"/>
        <w:gridCol w:w="786"/>
        <w:gridCol w:w="884"/>
        <w:gridCol w:w="643"/>
        <w:gridCol w:w="177"/>
        <w:gridCol w:w="1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  <w:t>1-5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24"/>
              </w:rPr>
              <w:t>月主要经济指标与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  <w:t>GDP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24"/>
              </w:rPr>
              <w:t>支撑性指标目标任务完成情况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0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目标任务</w:t>
            </w:r>
          </w:p>
        </w:tc>
        <w:tc>
          <w:tcPr>
            <w:tcW w:w="1527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1-5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完成情况</w:t>
            </w:r>
          </w:p>
        </w:tc>
        <w:tc>
          <w:tcPr>
            <w:tcW w:w="1887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超（差）双过半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目标任务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0"/>
                <w:szCs w:val="20"/>
              </w:rPr>
              <w:t>双过半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0"/>
                <w:szCs w:val="20"/>
              </w:rPr>
              <w:t>目标</w:t>
            </w:r>
          </w:p>
        </w:tc>
        <w:tc>
          <w:tcPr>
            <w:tcW w:w="15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  <w:r>
              <w:rPr>
                <w:rFonts w:hint="eastAsia" w:ascii="Times New Roman" w:hAnsi="宋体" w:eastAsia="宋体"/>
                <w:b/>
                <w:bCs/>
                <w:color w:val="003366"/>
                <w:kern w:val="0"/>
                <w:szCs w:val="32"/>
              </w:rPr>
              <w:t>主要经济指标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地区生产总值增速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10%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8.4%(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1.6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规模以上固定资产投资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151.7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0"/>
                <w:szCs w:val="20"/>
              </w:rPr>
              <w:t>亿元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61.3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0"/>
                <w:szCs w:val="20"/>
              </w:rPr>
              <w:t>亿元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24.9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36.4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一般公共预算收入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6.91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0"/>
                <w:szCs w:val="20"/>
              </w:rPr>
              <w:t>亿元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3.45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0"/>
                <w:szCs w:val="20"/>
              </w:rPr>
              <w:t>亿元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1.852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亿元，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-1.7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％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1.598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规模以上工业增加值增速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10%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-1.8%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11.8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社会消费品零售总额增速（限额以上）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13%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13.9%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0.9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城镇居民人均可支配收入增速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8.5%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8.5%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8.7%(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0.2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农村常住居民人均可支配收入增速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8.7%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8.7%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10%(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1.3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  <w:r>
              <w:rPr>
                <w:rFonts w:hint="eastAsia" w:ascii="Times New Roman" w:hAnsi="宋体" w:eastAsia="宋体"/>
                <w:b/>
                <w:bCs/>
                <w:color w:val="003366"/>
                <w:kern w:val="0"/>
                <w:szCs w:val="32"/>
              </w:rPr>
              <w:t>支撑性指标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农业增加值增速（不变价）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7%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7%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5.8%(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1.2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规模以上工业增加值增速（不变价）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10%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-1.8%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11.8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规模以下工业总产值增速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12%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12%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2.5%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9.5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铁路运输总周转量增长速度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电信业务总量增速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90%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90%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72.6%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17.4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建筑业总产值增速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20%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20%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23.2%(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3.2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商品房（含期房、现房）销售面积增速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385.6%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355.6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公路运输总周转量增长速度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12%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12%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12.22%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0.22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邮政业务总量增速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37.72%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7.72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批发业商品销售额增速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17%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17%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19.7%(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2.7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零售业商品销售额增速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18%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18%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14.3%(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3.7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餐饮业营业额增速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20%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20%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16.7%(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3.3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住宿业营业额增速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18%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18%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14.7%(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季报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3.3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金融机构人民币存款余额增速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14%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14%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7.58%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6.42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金融机构人民币贷款余额增速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17%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17%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27.22%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超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10.22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财政预算支出中八项支出合计增速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27%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27%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19.9%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差</w:t>
            </w:r>
            <w:r>
              <w:rPr>
                <w:rFonts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7.1</w:t>
            </w:r>
            <w:r>
              <w:rPr>
                <w:rFonts w:hint="eastAsia" w:ascii="Times New Roman" w:hAnsi="Times New Roman" w:eastAsia="方正兰亭黑简体"/>
                <w:b/>
                <w:bCs/>
                <w:color w:val="FF0000"/>
                <w:kern w:val="0"/>
                <w:sz w:val="20"/>
                <w:szCs w:val="20"/>
              </w:rPr>
              <w:t>个百分点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互联网和相关服务、软件和信息技术服务营业收入增速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租赁和商务服务业营业收入增速（错月）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color w:val="FF0000"/>
                <w:kern w:val="0"/>
                <w:sz w:val="20"/>
                <w:szCs w:val="20"/>
              </w:rPr>
              <w:t>10%</w:t>
            </w:r>
          </w:p>
        </w:tc>
        <w:tc>
          <w:tcPr>
            <w:tcW w:w="253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每月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1-20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号报送数据，核算时使用错月（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月）的三项合计增速，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1-5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月合计增速</w:t>
            </w:r>
            <w:r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30.0%</w:t>
            </w: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，完成目标。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居民服务、修理和其他服务业营业收入增速（错月）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145.04%</w:t>
            </w:r>
          </w:p>
        </w:tc>
        <w:tc>
          <w:tcPr>
            <w:tcW w:w="25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color w:val="003366"/>
                <w:kern w:val="0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兰亭黑简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  <w:t>文化、体育和娱乐业营业收入增速（错月）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30%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color w:val="FF0000"/>
                <w:kern w:val="0"/>
                <w:sz w:val="20"/>
                <w:szCs w:val="20"/>
              </w:rPr>
              <w:t>27.39%</w:t>
            </w:r>
          </w:p>
        </w:tc>
        <w:tc>
          <w:tcPr>
            <w:tcW w:w="2530" w:type="dxa"/>
            <w:gridSpan w:val="3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兰亭黑简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错月：本月使用上月增速核算。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主要经济指标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项，</w:t>
            </w:r>
            <w:r>
              <w:rPr>
                <w:rFonts w:hint="eastAsia" w:ascii="Times New Roman" w:hAnsi="宋体" w:eastAsia="宋体"/>
                <w:bCs/>
                <w:color w:val="000000"/>
                <w:kern w:val="0"/>
                <w:sz w:val="22"/>
                <w:szCs w:val="22"/>
              </w:rPr>
              <w:t>完成双过半目标任务</w:t>
            </w:r>
            <w:r>
              <w:rPr>
                <w:rFonts w:ascii="Times New Roman" w:hAnsi="Times New Roman" w:eastAsia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宋体" w:eastAsia="宋体"/>
                <w:bCs/>
                <w:color w:val="000000"/>
                <w:kern w:val="0"/>
                <w:sz w:val="22"/>
                <w:szCs w:val="22"/>
              </w:rPr>
              <w:t>项，未完成目标任务</w:t>
            </w:r>
            <w:r>
              <w:rPr>
                <w:rFonts w:ascii="Times New Roman" w:hAnsi="Times New Roman" w:eastAsia="宋体"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Times New Roman" w:hAnsi="宋体" w:eastAsia="宋体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  <w:t>3.GDP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支撑性指标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项，涉及我县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项，</w:t>
            </w:r>
            <w:r>
              <w:rPr>
                <w:rFonts w:hint="eastAsia" w:ascii="Times New Roman" w:hAnsi="宋体" w:eastAsia="宋体"/>
                <w:bCs/>
                <w:color w:val="000000"/>
                <w:kern w:val="0"/>
                <w:sz w:val="22"/>
                <w:szCs w:val="22"/>
              </w:rPr>
              <w:t>完成目标任务</w:t>
            </w:r>
            <w:r>
              <w:rPr>
                <w:rFonts w:ascii="Times New Roman" w:hAnsi="Times New Roman" w:eastAsia="宋体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Times New Roman" w:hAnsi="宋体" w:eastAsia="宋体"/>
                <w:bCs/>
                <w:color w:val="000000"/>
                <w:kern w:val="0"/>
                <w:sz w:val="22"/>
                <w:szCs w:val="22"/>
              </w:rPr>
              <w:t>项，未完成目标任务</w:t>
            </w:r>
            <w:r>
              <w:rPr>
                <w:rFonts w:ascii="Times New Roman" w:hAnsi="Times New Roman" w:eastAsia="宋体"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Times New Roman" w:hAnsi="宋体" w:eastAsia="宋体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>
      <w:pPr>
        <w:ind w:firstLine="640" w:firstLineChars="200"/>
        <w:rPr>
          <w:rFonts w:ascii="Times New Roman" w:hAnsi="Times New Roman" w:eastAsia="楷体"/>
          <w:szCs w:val="32"/>
        </w:rPr>
      </w:pPr>
      <w:r>
        <w:rPr>
          <w:rFonts w:hint="eastAsia" w:ascii="Times New Roman" w:hAnsi="黑体" w:eastAsia="黑体"/>
          <w:szCs w:val="32"/>
        </w:rPr>
        <w:t>三、存在的主要问题</w:t>
      </w:r>
    </w:p>
    <w:p>
      <w:pPr>
        <w:ind w:firstLine="643" w:firstLineChars="200"/>
        <w:rPr>
          <w:rFonts w:ascii="Times New Roman" w:hAnsi="Times New Roman" w:eastAsia="仿宋"/>
          <w:bCs/>
          <w:szCs w:val="32"/>
        </w:rPr>
      </w:pPr>
      <w:r>
        <w:rPr>
          <w:rFonts w:hint="eastAsia" w:ascii="Times New Roman" w:hAnsi="楷体" w:eastAsia="楷体"/>
          <w:b/>
          <w:szCs w:val="32"/>
        </w:rPr>
        <w:t>（一）工业经济持续走低。</w:t>
      </w:r>
      <w:r>
        <w:rPr>
          <w:rFonts w:hint="eastAsia" w:ascii="Times New Roman" w:hAnsi="仿宋" w:eastAsia="仿宋"/>
          <w:bCs/>
          <w:szCs w:val="32"/>
        </w:rPr>
        <w:t>从规上工业的生产经营实际看，制约规上工业发展不利因素多。</w:t>
      </w:r>
      <w:r>
        <w:rPr>
          <w:rFonts w:hint="eastAsia" w:ascii="Times New Roman" w:hAnsi="仿宋" w:eastAsia="仿宋"/>
          <w:b/>
          <w:szCs w:val="32"/>
        </w:rPr>
        <w:t>一是</w:t>
      </w:r>
      <w:r>
        <w:rPr>
          <w:rFonts w:hint="eastAsia" w:ascii="Times New Roman" w:hAnsi="仿宋" w:eastAsia="仿宋"/>
          <w:bCs/>
          <w:szCs w:val="32"/>
        </w:rPr>
        <w:t>停产、减产企业的问题仍然没有得到有效解决。</w:t>
      </w:r>
      <w:r>
        <w:rPr>
          <w:rFonts w:ascii="Times New Roman" w:hAnsi="Times New Roman" w:eastAsia="仿宋"/>
          <w:bCs/>
          <w:szCs w:val="32"/>
        </w:rPr>
        <w:t>5</w:t>
      </w:r>
      <w:r>
        <w:rPr>
          <w:rFonts w:hint="eastAsia" w:ascii="Times New Roman" w:hAnsi="仿宋" w:eastAsia="仿宋"/>
          <w:bCs/>
          <w:szCs w:val="32"/>
        </w:rPr>
        <w:t>月末，仍有</w:t>
      </w:r>
      <w:r>
        <w:rPr>
          <w:rFonts w:ascii="Times New Roman" w:hAnsi="Times New Roman" w:eastAsia="仿宋"/>
          <w:bCs/>
          <w:szCs w:val="32"/>
        </w:rPr>
        <w:t>3</w:t>
      </w:r>
      <w:r>
        <w:rPr>
          <w:rFonts w:hint="eastAsia" w:ascii="Times New Roman" w:hAnsi="仿宋" w:eastAsia="仿宋"/>
          <w:bCs/>
          <w:szCs w:val="32"/>
        </w:rPr>
        <w:t>户停产，</w:t>
      </w:r>
      <w:r>
        <w:rPr>
          <w:rFonts w:ascii="Times New Roman" w:hAnsi="Times New Roman" w:eastAsia="仿宋"/>
          <w:bCs/>
          <w:szCs w:val="32"/>
        </w:rPr>
        <w:t>11</w:t>
      </w:r>
      <w:r>
        <w:rPr>
          <w:rFonts w:hint="eastAsia" w:ascii="Times New Roman" w:hAnsi="仿宋" w:eastAsia="仿宋"/>
          <w:bCs/>
          <w:szCs w:val="32"/>
        </w:rPr>
        <w:t>户减产。</w:t>
      </w:r>
      <w:r>
        <w:rPr>
          <w:rFonts w:hint="eastAsia" w:ascii="Times New Roman" w:hAnsi="仿宋" w:eastAsia="仿宋"/>
          <w:b/>
          <w:szCs w:val="32"/>
        </w:rPr>
        <w:t>二是</w:t>
      </w:r>
      <w:r>
        <w:rPr>
          <w:rFonts w:hint="eastAsia" w:ascii="Times New Roman" w:hAnsi="仿宋" w:eastAsia="仿宋"/>
          <w:bCs/>
          <w:szCs w:val="32"/>
        </w:rPr>
        <w:t>主要支撑力量电力行业持续负增长。</w:t>
      </w:r>
      <w:r>
        <w:rPr>
          <w:rFonts w:ascii="Times New Roman" w:hAnsi="Times New Roman" w:eastAsia="仿宋"/>
          <w:bCs/>
          <w:szCs w:val="32"/>
        </w:rPr>
        <w:t>1—5</w:t>
      </w:r>
      <w:r>
        <w:rPr>
          <w:rFonts w:hint="eastAsia" w:ascii="Times New Roman" w:hAnsi="仿宋" w:eastAsia="仿宋"/>
          <w:bCs/>
          <w:szCs w:val="32"/>
        </w:rPr>
        <w:t>月，电力行业增加值同比下降</w:t>
      </w:r>
      <w:r>
        <w:rPr>
          <w:rFonts w:ascii="Times New Roman" w:hAnsi="Times New Roman" w:eastAsia="仿宋"/>
          <w:bCs/>
          <w:szCs w:val="32"/>
        </w:rPr>
        <w:t>8.3%</w:t>
      </w:r>
      <w:r>
        <w:rPr>
          <w:rFonts w:hint="eastAsia" w:ascii="Times New Roman" w:hAnsi="仿宋" w:eastAsia="仿宋"/>
          <w:bCs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仿宋"/>
          <w:bCs/>
          <w:szCs w:val="32"/>
        </w:rPr>
      </w:pPr>
      <w:r>
        <w:rPr>
          <w:rFonts w:hint="eastAsia" w:ascii="Times New Roman" w:hAnsi="楷体" w:eastAsia="楷体"/>
          <w:b/>
          <w:szCs w:val="32"/>
        </w:rPr>
        <w:t>（二）固定资产投资下滑明显。</w:t>
      </w:r>
      <w:r>
        <w:rPr>
          <w:rFonts w:hint="eastAsia" w:ascii="Times New Roman" w:hAnsi="仿宋" w:eastAsia="仿宋"/>
          <w:b/>
          <w:szCs w:val="32"/>
        </w:rPr>
        <w:t>一是</w:t>
      </w:r>
      <w:r>
        <w:rPr>
          <w:rFonts w:ascii="Times New Roman" w:hAnsi="Times New Roman" w:eastAsia="仿宋"/>
          <w:bCs/>
          <w:szCs w:val="32"/>
        </w:rPr>
        <w:t>500-5000</w:t>
      </w:r>
      <w:r>
        <w:rPr>
          <w:rFonts w:hint="eastAsia" w:ascii="Times New Roman" w:hAnsi="仿宋" w:eastAsia="仿宋"/>
          <w:bCs/>
          <w:szCs w:val="32"/>
        </w:rPr>
        <w:t>万元项目投资统计采用财务支出法，项目单位对指标理解、入库要件熟悉进程滞后</w:t>
      </w:r>
      <w:r>
        <w:rPr>
          <w:rFonts w:hint="eastAsia" w:ascii="Times New Roman" w:hAnsi="仿宋" w:eastAsia="仿宋"/>
          <w:b/>
          <w:szCs w:val="32"/>
        </w:rPr>
        <w:t>；二是项目储备不足。</w:t>
      </w:r>
      <w:r>
        <w:rPr>
          <w:rFonts w:hint="eastAsia" w:ascii="Times New Roman" w:hAnsi="仿宋" w:eastAsia="仿宋"/>
          <w:bCs/>
          <w:szCs w:val="32"/>
        </w:rPr>
        <w:t>续建项目可报投资总量偏小，目前在库的项目剩余投资额仅</w:t>
      </w:r>
      <w:r>
        <w:rPr>
          <w:rFonts w:ascii="Times New Roman" w:hAnsi="Times New Roman" w:eastAsia="仿宋"/>
          <w:bCs/>
          <w:szCs w:val="32"/>
        </w:rPr>
        <w:t>36</w:t>
      </w:r>
      <w:r>
        <w:rPr>
          <w:rFonts w:hint="eastAsia" w:ascii="Times New Roman" w:hAnsi="仿宋" w:eastAsia="仿宋"/>
          <w:bCs/>
          <w:szCs w:val="32"/>
        </w:rPr>
        <w:t>亿元，对后期投资增长支撑作用减弱。</w:t>
      </w:r>
    </w:p>
    <w:p>
      <w:pPr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hint="eastAsia" w:ascii="Times New Roman" w:hAnsi="楷体" w:eastAsia="楷体"/>
          <w:b/>
          <w:szCs w:val="32"/>
        </w:rPr>
        <w:t>（三）</w:t>
      </w:r>
      <w:r>
        <w:rPr>
          <w:rFonts w:ascii="Times New Roman" w:hAnsi="Times New Roman" w:eastAsia="楷体"/>
          <w:b/>
          <w:szCs w:val="32"/>
        </w:rPr>
        <w:t>GDP</w:t>
      </w:r>
      <w:r>
        <w:rPr>
          <w:rFonts w:hint="eastAsia" w:ascii="Times New Roman" w:hAnsi="楷体" w:eastAsia="楷体"/>
          <w:b/>
          <w:szCs w:val="32"/>
        </w:rPr>
        <w:t>支撑性指标未达预期。</w:t>
      </w:r>
      <w:r>
        <w:rPr>
          <w:rFonts w:ascii="Times New Roman" w:hAnsi="Times New Roman" w:eastAsia="仿宋"/>
          <w:bCs/>
          <w:szCs w:val="32"/>
        </w:rPr>
        <w:t>1—5</w:t>
      </w:r>
      <w:r>
        <w:rPr>
          <w:rFonts w:hint="eastAsia" w:ascii="Times New Roman" w:hAnsi="仿宋" w:eastAsia="仿宋"/>
          <w:bCs/>
          <w:szCs w:val="32"/>
        </w:rPr>
        <w:t>月</w:t>
      </w:r>
      <w:r>
        <w:rPr>
          <w:rFonts w:ascii="Times New Roman" w:hAnsi="Times New Roman" w:eastAsia="仿宋"/>
          <w:bCs/>
          <w:szCs w:val="32"/>
        </w:rPr>
        <w:t>20</w:t>
      </w:r>
      <w:r>
        <w:rPr>
          <w:rFonts w:hint="eastAsia" w:ascii="Times New Roman" w:hAnsi="仿宋" w:eastAsia="仿宋"/>
          <w:bCs/>
          <w:szCs w:val="32"/>
        </w:rPr>
        <w:t>项支撑性指标中，涉及我县</w:t>
      </w:r>
      <w:r>
        <w:rPr>
          <w:rFonts w:ascii="Times New Roman" w:hAnsi="Times New Roman" w:eastAsia="仿宋"/>
          <w:bCs/>
          <w:szCs w:val="32"/>
        </w:rPr>
        <w:t>18</w:t>
      </w:r>
      <w:r>
        <w:rPr>
          <w:rFonts w:hint="eastAsia" w:ascii="Times New Roman" w:hAnsi="仿宋" w:eastAsia="仿宋"/>
          <w:bCs/>
          <w:szCs w:val="32"/>
        </w:rPr>
        <w:t>项，完成目标任务的仅</w:t>
      </w:r>
      <w:r>
        <w:rPr>
          <w:rFonts w:ascii="Times New Roman" w:hAnsi="Times New Roman" w:eastAsia="仿宋"/>
          <w:bCs/>
          <w:szCs w:val="32"/>
        </w:rPr>
        <w:t>7</w:t>
      </w:r>
      <w:r>
        <w:rPr>
          <w:rFonts w:hint="eastAsia" w:ascii="Times New Roman" w:hAnsi="仿宋" w:eastAsia="仿宋"/>
          <w:bCs/>
          <w:szCs w:val="32"/>
        </w:rPr>
        <w:t>项，未完成目标任务</w:t>
      </w:r>
      <w:r>
        <w:rPr>
          <w:rFonts w:ascii="Times New Roman" w:hAnsi="Times New Roman" w:eastAsia="仿宋"/>
          <w:bCs/>
          <w:szCs w:val="32"/>
        </w:rPr>
        <w:t>11</w:t>
      </w:r>
      <w:r>
        <w:rPr>
          <w:rFonts w:hint="eastAsia" w:ascii="Times New Roman" w:hAnsi="仿宋" w:eastAsia="仿宋"/>
          <w:bCs/>
          <w:szCs w:val="32"/>
        </w:rPr>
        <w:t>项，特别是规上工业增加值、财政八项支出增速等重点指标未达预期，分别差目标任务数</w:t>
      </w:r>
      <w:r>
        <w:rPr>
          <w:rFonts w:ascii="Times New Roman" w:hAnsi="Times New Roman" w:eastAsia="仿宋"/>
          <w:bCs/>
          <w:szCs w:val="32"/>
        </w:rPr>
        <w:t>11.8</w:t>
      </w:r>
      <w:r>
        <w:rPr>
          <w:rFonts w:hint="eastAsia" w:ascii="Times New Roman" w:hAnsi="仿宋" w:eastAsia="仿宋"/>
          <w:bCs/>
          <w:szCs w:val="32"/>
        </w:rPr>
        <w:t>和</w:t>
      </w:r>
      <w:r>
        <w:rPr>
          <w:rFonts w:ascii="Times New Roman" w:hAnsi="Times New Roman" w:eastAsia="仿宋"/>
          <w:bCs/>
          <w:szCs w:val="32"/>
        </w:rPr>
        <w:t>7.1</w:t>
      </w:r>
      <w:r>
        <w:rPr>
          <w:rFonts w:hint="eastAsia" w:ascii="Times New Roman" w:hAnsi="仿宋" w:eastAsia="仿宋"/>
          <w:bCs/>
          <w:szCs w:val="32"/>
        </w:rPr>
        <w:t>个百分点，难以支撑</w:t>
      </w:r>
      <w:r>
        <w:rPr>
          <w:rFonts w:ascii="Times New Roman" w:hAnsi="Times New Roman" w:eastAsia="仿宋"/>
          <w:bCs/>
          <w:szCs w:val="32"/>
        </w:rPr>
        <w:t>GDP</w:t>
      </w:r>
      <w:r>
        <w:rPr>
          <w:rFonts w:hint="eastAsia" w:ascii="Times New Roman" w:hAnsi="仿宋" w:eastAsia="仿宋"/>
          <w:bCs/>
          <w:szCs w:val="32"/>
        </w:rPr>
        <w:t>目标增速。</w:t>
      </w:r>
      <w:r>
        <w:rPr>
          <w:rFonts w:ascii="Times New Roman" w:hAnsi="Times New Roman" w:eastAsia="仿宋"/>
          <w:bCs/>
          <w:szCs w:val="32"/>
        </w:rPr>
        <w:t> </w:t>
      </w:r>
    </w:p>
    <w:p>
      <w:pPr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hint="eastAsia" w:ascii="Times New Roman" w:hAnsi="黑体" w:eastAsia="黑体"/>
          <w:szCs w:val="32"/>
        </w:rPr>
        <w:t>四、建议</w:t>
      </w:r>
    </w:p>
    <w:p>
      <w:pPr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hint="eastAsia" w:ascii="Times New Roman" w:hAnsi="楷体" w:eastAsia="楷体"/>
          <w:b/>
          <w:bCs/>
          <w:szCs w:val="32"/>
        </w:rPr>
        <w:t>（一）加大工业企业服务、扶持力度。</w:t>
      </w:r>
      <w:r>
        <w:rPr>
          <w:rFonts w:hint="eastAsia" w:ascii="Times New Roman" w:hAnsi="仿宋" w:eastAsia="仿宋"/>
          <w:b/>
          <w:bCs/>
          <w:szCs w:val="32"/>
        </w:rPr>
        <w:t>一是</w:t>
      </w:r>
      <w:r>
        <w:rPr>
          <w:rFonts w:hint="eastAsia" w:ascii="Times New Roman" w:hAnsi="仿宋" w:eastAsia="仿宋"/>
          <w:szCs w:val="32"/>
        </w:rPr>
        <w:t>多措并举，力促工业企业复产达标。对停产企业逐个进行认真梳理，一企一策，有针对性协调解决，力促停产企业尽快复工复产。</w:t>
      </w:r>
      <w:r>
        <w:rPr>
          <w:rFonts w:hint="eastAsia" w:ascii="Times New Roman" w:hAnsi="仿宋" w:eastAsia="仿宋"/>
          <w:b/>
          <w:bCs/>
          <w:szCs w:val="32"/>
        </w:rPr>
        <w:t>二是</w:t>
      </w:r>
      <w:r>
        <w:rPr>
          <w:rFonts w:hint="eastAsia" w:ascii="Times New Roman" w:hAnsi="仿宋" w:eastAsia="仿宋"/>
          <w:szCs w:val="32"/>
        </w:rPr>
        <w:t>继续加大升规入库工作力度。发挥行业主管部门主体职能，对在库企业加大扶持力度，壮大发展发展规模。对拟入库企业，加大监测服务力度，达到条件的及时促其入库。</w:t>
      </w:r>
      <w:r>
        <w:rPr>
          <w:rFonts w:hint="eastAsia" w:ascii="Times New Roman" w:hAnsi="仿宋" w:eastAsia="仿宋"/>
          <w:b/>
          <w:bCs/>
          <w:szCs w:val="32"/>
        </w:rPr>
        <w:t>三是</w:t>
      </w:r>
      <w:r>
        <w:rPr>
          <w:rFonts w:hint="eastAsia" w:ascii="Times New Roman" w:hAnsi="仿宋" w:eastAsia="仿宋"/>
          <w:szCs w:val="32"/>
        </w:rPr>
        <w:t>紧抓企业生产，做好监测调度。努力改善企业的经营环境和生产秩序，协助解决好影响企业生产的各种问题，为企业达产增效创造有利局面，帮助企业降低生产风险和经营成本，增强企业发展优势，激发企业生产潜力，创造企业最大效益。</w:t>
      </w:r>
    </w:p>
    <w:p>
      <w:pPr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hint="eastAsia" w:ascii="Times New Roman" w:hAnsi="楷体" w:eastAsia="楷体"/>
          <w:b/>
          <w:bCs/>
          <w:szCs w:val="32"/>
        </w:rPr>
        <w:t>（二）全面加强项目建设，确保投资持续快速增长。</w:t>
      </w:r>
      <w:r>
        <w:rPr>
          <w:rFonts w:hint="eastAsia" w:ascii="Times New Roman" w:hAnsi="仿宋" w:eastAsia="仿宋"/>
          <w:szCs w:val="32"/>
        </w:rPr>
        <w:t>促进投资持续快速增长，既要重视</w:t>
      </w:r>
      <w:r>
        <w:rPr>
          <w:rFonts w:ascii="Times New Roman" w:hAnsi="Times New Roman" w:eastAsia="仿宋"/>
          <w:szCs w:val="32"/>
        </w:rPr>
        <w:t>5000</w:t>
      </w:r>
      <w:r>
        <w:rPr>
          <w:rFonts w:hint="eastAsia" w:ascii="Times New Roman" w:hAnsi="仿宋" w:eastAsia="仿宋"/>
          <w:szCs w:val="32"/>
        </w:rPr>
        <w:t>万元以上项目进度，也要关注</w:t>
      </w:r>
      <w:r>
        <w:rPr>
          <w:rFonts w:ascii="Times New Roman" w:hAnsi="Times New Roman" w:eastAsia="仿宋"/>
          <w:szCs w:val="32"/>
        </w:rPr>
        <w:t>5000</w:t>
      </w:r>
      <w:r>
        <w:rPr>
          <w:rFonts w:hint="eastAsia" w:ascii="Times New Roman" w:hAnsi="仿宋" w:eastAsia="仿宋"/>
          <w:szCs w:val="32"/>
        </w:rPr>
        <w:t>以下项目的储备和投资进度，大小项目齐头并进，增强投资增长后劲。</w:t>
      </w:r>
      <w:r>
        <w:rPr>
          <w:rFonts w:hint="eastAsia" w:ascii="Times New Roman" w:hAnsi="仿宋" w:eastAsia="仿宋"/>
          <w:b/>
          <w:bCs/>
          <w:szCs w:val="32"/>
        </w:rPr>
        <w:t>一是</w:t>
      </w:r>
      <w:r>
        <w:rPr>
          <w:rFonts w:hint="eastAsia" w:ascii="Times New Roman" w:hAnsi="仿宋" w:eastAsia="仿宋"/>
          <w:szCs w:val="32"/>
        </w:rPr>
        <w:t>项目单位要尽快掌握入库要件，达到新方法制度要求。</w:t>
      </w:r>
      <w:r>
        <w:rPr>
          <w:rFonts w:hint="eastAsia" w:ascii="Times New Roman" w:hAnsi="仿宋" w:eastAsia="仿宋"/>
          <w:b/>
          <w:bCs/>
          <w:szCs w:val="32"/>
        </w:rPr>
        <w:t>二是</w:t>
      </w:r>
      <w:r>
        <w:rPr>
          <w:rFonts w:hint="eastAsia" w:ascii="Times New Roman" w:hAnsi="仿宋" w:eastAsia="仿宋"/>
          <w:szCs w:val="32"/>
        </w:rPr>
        <w:t>对已开工尚未入库的</w:t>
      </w:r>
      <w:r>
        <w:rPr>
          <w:rFonts w:ascii="Times New Roman" w:hAnsi="Times New Roman" w:eastAsia="仿宋"/>
          <w:szCs w:val="32"/>
        </w:rPr>
        <w:t>5000</w:t>
      </w:r>
      <w:r>
        <w:rPr>
          <w:rFonts w:hint="eastAsia" w:ascii="Times New Roman" w:hAnsi="仿宋" w:eastAsia="仿宋"/>
          <w:szCs w:val="32"/>
        </w:rPr>
        <w:t>万元以下项目，及时帮助补充完善审批、施工合同等入库必要手续，确保项目及时入库。</w:t>
      </w:r>
      <w:r>
        <w:rPr>
          <w:rFonts w:hint="eastAsia" w:ascii="Times New Roman" w:hAnsi="仿宋" w:eastAsia="仿宋"/>
          <w:b/>
          <w:bCs/>
          <w:szCs w:val="32"/>
        </w:rPr>
        <w:t>三是</w:t>
      </w:r>
      <w:r>
        <w:rPr>
          <w:rFonts w:hint="eastAsia" w:ascii="Times New Roman" w:hAnsi="仿宋" w:eastAsia="仿宋"/>
          <w:szCs w:val="32"/>
        </w:rPr>
        <w:t>做实项目储备，促投资增长。对全县投资项目尤其是重点项目要做实前期工作，确保能开工、快建设，使投资数据不断档，增长有连续性。</w:t>
      </w:r>
      <w:r>
        <w:rPr>
          <w:rFonts w:hint="eastAsia" w:ascii="Times New Roman" w:hAnsi="仿宋" w:eastAsia="仿宋"/>
          <w:b/>
          <w:bCs/>
          <w:szCs w:val="32"/>
        </w:rPr>
        <w:t>四是</w:t>
      </w:r>
      <w:r>
        <w:rPr>
          <w:rFonts w:hint="eastAsia" w:ascii="Times New Roman" w:hAnsi="仿宋" w:eastAsia="仿宋"/>
          <w:szCs w:val="32"/>
        </w:rPr>
        <w:t>抓项目的谋划。在基础设施、社会事业和县域经济等领域，谋划储备一批好项目，为项目建设及固定资产投资后续增长奠定基础。</w:t>
      </w:r>
    </w:p>
    <w:p>
      <w:pPr>
        <w:ind w:firstLine="643" w:firstLineChars="200"/>
        <w:rPr>
          <w:rFonts w:ascii="Times New Roman" w:hAnsi="Times New Roman" w:eastAsia="仿宋"/>
          <w:szCs w:val="32"/>
        </w:rPr>
      </w:pPr>
      <w:r>
        <w:rPr>
          <w:rFonts w:hint="eastAsia" w:ascii="Times New Roman" w:hAnsi="楷体" w:eastAsia="楷体"/>
          <w:b/>
          <w:bCs/>
          <w:szCs w:val="32"/>
        </w:rPr>
        <w:t>（三）各部门要切实履职，确保支撑</w:t>
      </w:r>
      <w:r>
        <w:rPr>
          <w:rFonts w:ascii="Times New Roman" w:hAnsi="Times New Roman" w:eastAsia="楷体"/>
          <w:b/>
          <w:bCs/>
          <w:szCs w:val="32"/>
        </w:rPr>
        <w:t>GDP</w:t>
      </w:r>
      <w:r>
        <w:rPr>
          <w:rFonts w:hint="eastAsia" w:ascii="Times New Roman" w:hAnsi="楷体" w:eastAsia="楷体"/>
          <w:b/>
          <w:bCs/>
          <w:szCs w:val="32"/>
        </w:rPr>
        <w:t>核算的各项指标完成或超额完成。</w:t>
      </w:r>
      <w:r>
        <w:rPr>
          <w:rFonts w:hint="eastAsia" w:ascii="Times New Roman" w:hAnsi="仿宋" w:eastAsia="仿宋"/>
          <w:b/>
          <w:bCs/>
          <w:szCs w:val="32"/>
        </w:rPr>
        <w:t>一是</w:t>
      </w:r>
      <w:r>
        <w:rPr>
          <w:rFonts w:hint="eastAsia" w:ascii="Times New Roman" w:hAnsi="仿宋" w:eastAsia="仿宋"/>
          <w:szCs w:val="32"/>
        </w:rPr>
        <w:t>各责任单位要紧紧围绕县委县政府确定的全年经济增长预期目标，高度重视经济运行监测工作，进一步狠抓落实，担负起分管行业经济建设的主体责任，亲力亲为、尽职尽责，切实扭转因部分行业增速下滑导致</w:t>
      </w:r>
      <w:r>
        <w:rPr>
          <w:rFonts w:ascii="Times New Roman" w:hAnsi="Times New Roman" w:eastAsia="仿宋"/>
          <w:szCs w:val="32"/>
        </w:rPr>
        <w:t>GDP</w:t>
      </w:r>
      <w:r>
        <w:rPr>
          <w:rFonts w:hint="eastAsia" w:ascii="Times New Roman" w:hAnsi="仿宋" w:eastAsia="仿宋"/>
          <w:szCs w:val="32"/>
        </w:rPr>
        <w:t>增速趋缓的不利局面。</w:t>
      </w:r>
      <w:r>
        <w:rPr>
          <w:rFonts w:hint="eastAsia" w:ascii="Times New Roman" w:hAnsi="仿宋" w:eastAsia="仿宋"/>
          <w:b/>
          <w:bCs/>
          <w:szCs w:val="32"/>
        </w:rPr>
        <w:t>二是</w:t>
      </w:r>
      <w:r>
        <w:rPr>
          <w:rFonts w:hint="eastAsia" w:ascii="Times New Roman" w:hAnsi="仿宋" w:eastAsia="仿宋"/>
          <w:szCs w:val="32"/>
        </w:rPr>
        <w:t>加强对重点行业运行监测力度。做好对重点行业主要指标的监测工作，做到问题早发现、早解决，力争支撑性指标完成或超额完成预期目标。对占比较高，经济增长影响较大的行业更要重点关注，确保</w:t>
      </w:r>
      <w:r>
        <w:rPr>
          <w:rFonts w:ascii="Times New Roman" w:hAnsi="Times New Roman" w:eastAsia="仿宋"/>
          <w:szCs w:val="32"/>
        </w:rPr>
        <w:t>GDP</w:t>
      </w:r>
      <w:r>
        <w:rPr>
          <w:rFonts w:hint="eastAsia" w:ascii="Times New Roman" w:hAnsi="仿宋" w:eastAsia="仿宋"/>
          <w:szCs w:val="32"/>
        </w:rPr>
        <w:t>持续稳步增长。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6007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3.4pt;height:0pt;width:441pt;z-index:251659264;mso-width-relative:page;mso-height-relative:page;" filled="f" stroked="t" coordsize="21600,21600" o:gfxdata="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VNkBPSAAAABgEAAA8AAAAAAAAAAQAgAAAAIgAAAGRy&#10;cy9kb3ducmV2LnhtbFBLAQIUABQAAAAIAIdO4kAT6Jev0gEAAJwDAAAOAAAAAAAAAAEAIAAAACE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抄送：县委办、人大办、政府办、政协办、纪委办，焦书记、李县长、段副书记、张常务副县长、王副县长，发改局、县委政府督查办、农业局。</w:t>
      </w:r>
    </w:p>
    <w:p>
      <w:pPr>
        <w:spacing w:line="560" w:lineRule="exact"/>
        <w:ind w:firstLine="160" w:firstLineChars="50"/>
        <w:rPr>
          <w:rFonts w:ascii="Times New Roman" w:hAnsi="Times New Roman" w:eastAsia="楷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289560</wp:posOffset>
                </wp:positionV>
                <wp:extent cx="560070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9pt;margin-top:22.8pt;height:0pt;width:441pt;z-index:251658240;mso-width-relative:page;mso-height-relative:page;" filled="f" stroked="t" coordsize="21600,21600" o:gfxdata="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UzkCdQAAAAIAQAADwAAAAAAAAABACAAAAAiAAAA&#10;ZHJzL2Rvd25yZXYueG1sUEsBAhQAFAAAAAgAh07iQJ0CEJXSAQAAnAMAAA4AAAAAAAAAAQAgAAAA&#10;Iw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160" w:firstLineChars="50"/>
        <w:rPr>
          <w:rFonts w:eastAsia="楷体"/>
          <w:szCs w:val="32"/>
        </w:rPr>
      </w:pPr>
      <w:r>
        <w:rPr>
          <w:rFonts w:hint="eastAsia" w:ascii="Times New Roman" w:hAnsi="Times New Roman" w:eastAsia="楷体"/>
          <w:szCs w:val="32"/>
        </w:rPr>
        <w:t>撰稿：郭成莉</w:t>
      </w:r>
      <w:r>
        <w:rPr>
          <w:rFonts w:ascii="Times New Roman" w:hAnsi="Times New Roman" w:eastAsia="楷体"/>
          <w:szCs w:val="32"/>
        </w:rPr>
        <w:t xml:space="preserve">      </w:t>
      </w:r>
      <w:r>
        <w:rPr>
          <w:rFonts w:hint="eastAsia" w:ascii="Times New Roman" w:hAnsi="Times New Roman" w:eastAsia="楷体"/>
          <w:szCs w:val="32"/>
        </w:rPr>
        <w:t>校对：张婕倩</w:t>
      </w:r>
      <w:r>
        <w:rPr>
          <w:rFonts w:ascii="Times New Roman" w:hAnsi="Times New Roman" w:eastAsia="楷体"/>
          <w:szCs w:val="32"/>
        </w:rPr>
        <w:t xml:space="preserve">           </w:t>
      </w:r>
      <w:r>
        <w:rPr>
          <w:rFonts w:hint="eastAsia" w:ascii="Times New Roman" w:hAnsi="Times New Roman" w:eastAsia="楷体"/>
          <w:szCs w:val="32"/>
        </w:rPr>
        <w:t>签发</w:t>
      </w:r>
      <w:r>
        <w:rPr>
          <w:rFonts w:hint="eastAsia" w:hAnsi="楷体" w:eastAsia="楷体"/>
          <w:szCs w:val="32"/>
        </w:rPr>
        <w:t>：</w:t>
      </w:r>
      <w:r>
        <w:rPr>
          <w:rFonts w:eastAsia="楷体"/>
          <w:szCs w:val="32"/>
        </w:rPr>
        <w:t xml:space="preserve"> </w:t>
      </w:r>
      <w:r>
        <w:rPr>
          <w:rFonts w:hint="eastAsia" w:hAnsi="楷体" w:eastAsia="楷体"/>
          <w:szCs w:val="32"/>
        </w:rPr>
        <w:t>张琼丽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pgNumType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  <w:t>6</w: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 w:eastAsia="宋体"/>
                        <w:sz w:val="24"/>
                      </w:rPr>
                    </w:pPr>
                    <w:r>
                      <w:rPr>
                        <w:rStyle w:val="6"/>
                        <w:rFonts w:ascii="宋体" w:hAnsi="宋体" w:eastAsia="宋体"/>
                        <w:sz w:val="24"/>
                      </w:rPr>
                      <w:t>—</w:t>
                    </w:r>
                    <w:r>
                      <w:rPr>
                        <w:rStyle w:val="6"/>
                        <w:rFonts w:ascii="宋体" w:hAnsi="宋体" w:eastAsia="宋体"/>
                        <w:sz w:val="24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4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 w:eastAsia="宋体"/>
                        <w:sz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4"/>
                      </w:rPr>
                      <w:t>6</w:t>
                    </w:r>
                    <w:r>
                      <w:rPr>
                        <w:rStyle w:val="6"/>
                        <w:rFonts w:ascii="宋体" w:hAnsi="宋体" w:eastAsia="宋体"/>
                        <w:sz w:val="24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 w:eastAsia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99FE"/>
    <w:multiLevelType w:val="singleLevel"/>
    <w:tmpl w:val="21ED99FE"/>
    <w:lvl w:ilvl="0" w:tentative="0">
      <w:start w:val="2"/>
      <w:numFmt w:val="chineseCounting"/>
      <w:suff w:val="space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95F23"/>
    <w:rsid w:val="00002C9E"/>
    <w:rsid w:val="000376F8"/>
    <w:rsid w:val="00044A90"/>
    <w:rsid w:val="000472B6"/>
    <w:rsid w:val="0008006E"/>
    <w:rsid w:val="000B4DB1"/>
    <w:rsid w:val="000D1B91"/>
    <w:rsid w:val="00173ED0"/>
    <w:rsid w:val="001852A7"/>
    <w:rsid w:val="00196B27"/>
    <w:rsid w:val="001D67A6"/>
    <w:rsid w:val="001E0D9A"/>
    <w:rsid w:val="002223D5"/>
    <w:rsid w:val="002361E3"/>
    <w:rsid w:val="00237F9D"/>
    <w:rsid w:val="00277DAA"/>
    <w:rsid w:val="00286ABC"/>
    <w:rsid w:val="00287ECD"/>
    <w:rsid w:val="002D421F"/>
    <w:rsid w:val="00310663"/>
    <w:rsid w:val="00322C69"/>
    <w:rsid w:val="003255C8"/>
    <w:rsid w:val="003663E2"/>
    <w:rsid w:val="00372C71"/>
    <w:rsid w:val="00393F91"/>
    <w:rsid w:val="003C59E1"/>
    <w:rsid w:val="003D546B"/>
    <w:rsid w:val="00412518"/>
    <w:rsid w:val="00427940"/>
    <w:rsid w:val="00462615"/>
    <w:rsid w:val="00494BB8"/>
    <w:rsid w:val="00531576"/>
    <w:rsid w:val="00544FEB"/>
    <w:rsid w:val="0057136A"/>
    <w:rsid w:val="00573E7C"/>
    <w:rsid w:val="00575B1D"/>
    <w:rsid w:val="00577D5A"/>
    <w:rsid w:val="00584C3C"/>
    <w:rsid w:val="00594E01"/>
    <w:rsid w:val="005979D0"/>
    <w:rsid w:val="00605654"/>
    <w:rsid w:val="006109BF"/>
    <w:rsid w:val="00627ADC"/>
    <w:rsid w:val="00631D35"/>
    <w:rsid w:val="00640C65"/>
    <w:rsid w:val="006C3F5C"/>
    <w:rsid w:val="00720E1E"/>
    <w:rsid w:val="00723E26"/>
    <w:rsid w:val="007400F6"/>
    <w:rsid w:val="00752029"/>
    <w:rsid w:val="0075578F"/>
    <w:rsid w:val="007640C1"/>
    <w:rsid w:val="007711DA"/>
    <w:rsid w:val="00785764"/>
    <w:rsid w:val="00794E7E"/>
    <w:rsid w:val="00796945"/>
    <w:rsid w:val="007B1A74"/>
    <w:rsid w:val="007C3DBF"/>
    <w:rsid w:val="007F3016"/>
    <w:rsid w:val="007F3BAA"/>
    <w:rsid w:val="007F7293"/>
    <w:rsid w:val="00850F68"/>
    <w:rsid w:val="00884768"/>
    <w:rsid w:val="00893D52"/>
    <w:rsid w:val="00932B81"/>
    <w:rsid w:val="00997EB3"/>
    <w:rsid w:val="00A07043"/>
    <w:rsid w:val="00A53499"/>
    <w:rsid w:val="00A67398"/>
    <w:rsid w:val="00A85559"/>
    <w:rsid w:val="00AE7C04"/>
    <w:rsid w:val="00B107E8"/>
    <w:rsid w:val="00BA291B"/>
    <w:rsid w:val="00BB3404"/>
    <w:rsid w:val="00BC3BAA"/>
    <w:rsid w:val="00BD627A"/>
    <w:rsid w:val="00C27C26"/>
    <w:rsid w:val="00C8711F"/>
    <w:rsid w:val="00D0551B"/>
    <w:rsid w:val="00D733EB"/>
    <w:rsid w:val="00D767FC"/>
    <w:rsid w:val="00DA63EA"/>
    <w:rsid w:val="00DD6D05"/>
    <w:rsid w:val="00E46425"/>
    <w:rsid w:val="00ED612C"/>
    <w:rsid w:val="00F30202"/>
    <w:rsid w:val="00F572E5"/>
    <w:rsid w:val="00F83B9C"/>
    <w:rsid w:val="00F91468"/>
    <w:rsid w:val="00FA22AD"/>
    <w:rsid w:val="017245BA"/>
    <w:rsid w:val="05900D79"/>
    <w:rsid w:val="068A4BE1"/>
    <w:rsid w:val="085A5289"/>
    <w:rsid w:val="092D594A"/>
    <w:rsid w:val="0BEE6F1D"/>
    <w:rsid w:val="0CA7668E"/>
    <w:rsid w:val="0F561748"/>
    <w:rsid w:val="10F36AE9"/>
    <w:rsid w:val="140F5307"/>
    <w:rsid w:val="14840AA7"/>
    <w:rsid w:val="159E5D5F"/>
    <w:rsid w:val="18C52412"/>
    <w:rsid w:val="1A1836F5"/>
    <w:rsid w:val="2507582E"/>
    <w:rsid w:val="28CC3B0B"/>
    <w:rsid w:val="2A72085A"/>
    <w:rsid w:val="2B0F5613"/>
    <w:rsid w:val="32F00272"/>
    <w:rsid w:val="33146108"/>
    <w:rsid w:val="38AE75AB"/>
    <w:rsid w:val="4119769F"/>
    <w:rsid w:val="41530389"/>
    <w:rsid w:val="43995F23"/>
    <w:rsid w:val="46692C90"/>
    <w:rsid w:val="4AA478DA"/>
    <w:rsid w:val="4DA27295"/>
    <w:rsid w:val="4EDF084F"/>
    <w:rsid w:val="4F3813E7"/>
    <w:rsid w:val="4F655480"/>
    <w:rsid w:val="53440DEF"/>
    <w:rsid w:val="57A31B0D"/>
    <w:rsid w:val="58FF27B3"/>
    <w:rsid w:val="596B692A"/>
    <w:rsid w:val="60BA04C9"/>
    <w:rsid w:val="624C69AE"/>
    <w:rsid w:val="63DF4ACC"/>
    <w:rsid w:val="6970749F"/>
    <w:rsid w:val="794E7255"/>
    <w:rsid w:val="7AB467F0"/>
    <w:rsid w:val="7D111072"/>
    <w:rsid w:val="7DE7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font31"/>
    <w:basedOn w:val="5"/>
    <w:qFormat/>
    <w:uiPriority w:val="99"/>
    <w:rPr>
      <w:rFonts w:ascii="仿宋" w:hAnsi="仿宋" w:eastAsia="仿宋" w:cs="仿宋"/>
      <w:b/>
      <w:color w:val="000000"/>
      <w:sz w:val="26"/>
      <w:szCs w:val="26"/>
      <w:u w:val="none"/>
    </w:rPr>
  </w:style>
  <w:style w:type="character" w:customStyle="1" w:styleId="11">
    <w:name w:val="font01"/>
    <w:basedOn w:val="5"/>
    <w:uiPriority w:val="99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2">
    <w:name w:val="Balloon Text Char"/>
    <w:basedOn w:val="5"/>
    <w:link w:val="2"/>
    <w:semiHidden/>
    <w:qFormat/>
    <w:locked/>
    <w:uiPriority w:val="99"/>
    <w:rPr>
      <w:rFonts w:ascii="Calibri" w:hAnsi="Calibri"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475</Words>
  <Characters>2711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2018-06-20T02:33:00Z</dcterms:created>
  <dc:creator>勺妹 </dc:creator>
  <cp:lastModifiedBy>Administrator</cp:lastModifiedBy>
  <cp:lastPrinted>2018-06-25T03:03:00Z</cp:lastPrinted>
  <dcterms:modified xsi:type="dcterms:W3CDTF">2018-06-25T07:16:34Z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