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36"/>
          <w:szCs w:val="36"/>
        </w:rPr>
      </w:pPr>
      <w:r>
        <w:rPr>
          <w:rFonts w:hint="eastAsia" w:cs="宋体"/>
          <w:b/>
          <w:bCs/>
          <w:sz w:val="36"/>
          <w:szCs w:val="36"/>
        </w:rPr>
        <w:t>禄劝彝族苗族自治县</w:t>
      </w:r>
      <w:r>
        <w:rPr>
          <w:rFonts w:hint="eastAsia" w:cs="宋体"/>
          <w:b/>
          <w:bCs/>
          <w:sz w:val="36"/>
          <w:szCs w:val="36"/>
          <w:lang w:eastAsia="zh-CN"/>
        </w:rPr>
        <w:t>卫生和计划生育局</w:t>
      </w:r>
    </w:p>
    <w:p>
      <w:pPr>
        <w:widowControl/>
        <w:jc w:val="center"/>
        <w:rPr>
          <w:rFonts w:ascii="方正小标宋简体" w:eastAsia="方正小标宋简体"/>
          <w:kern w:val="0"/>
          <w:sz w:val="36"/>
          <w:szCs w:val="36"/>
        </w:rPr>
      </w:pPr>
      <w:r>
        <w:rPr>
          <w:b/>
          <w:bCs/>
          <w:sz w:val="36"/>
          <w:szCs w:val="36"/>
        </w:rPr>
        <w:t>2018</w:t>
      </w:r>
      <w:r>
        <w:rPr>
          <w:rFonts w:hint="eastAsia" w:cs="宋体"/>
          <w:b/>
          <w:bCs/>
          <w:sz w:val="36"/>
          <w:szCs w:val="36"/>
        </w:rPr>
        <w:t>年部门</w:t>
      </w:r>
      <w:r>
        <w:rPr>
          <w:rFonts w:hint="eastAsia" w:ascii="方正小标宋简体" w:eastAsia="方正小标宋简体" w:cs="方正小标宋简体"/>
          <w:kern w:val="0"/>
          <w:sz w:val="36"/>
          <w:szCs w:val="36"/>
        </w:rPr>
        <w:t>预算编制说明</w:t>
      </w:r>
    </w:p>
    <w:p>
      <w:pPr>
        <w:widowControl/>
        <w:jc w:val="center"/>
        <w:rPr>
          <w:rFonts w:ascii="方正小标宋简体" w:eastAsia="方正小标宋简体"/>
          <w:kern w:val="0"/>
          <w:sz w:val="36"/>
          <w:szCs w:val="36"/>
        </w:rPr>
      </w:pPr>
      <w:r>
        <w:rPr>
          <w:rFonts w:hint="eastAsia" w:ascii="方正小标宋简体" w:eastAsia="方正小标宋简体"/>
          <w:kern w:val="0"/>
          <w:sz w:val="36"/>
          <w:szCs w:val="36"/>
        </w:rPr>
        <w:t>目录</w:t>
      </w:r>
    </w:p>
    <w:tbl>
      <w:tblPr>
        <w:tblStyle w:val="6"/>
        <w:tblW w:w="10532" w:type="dxa"/>
        <w:tblInd w:w="108" w:type="dxa"/>
        <w:tblLayout w:type="fixed"/>
        <w:tblCellMar>
          <w:top w:w="0" w:type="dxa"/>
          <w:left w:w="108" w:type="dxa"/>
          <w:bottom w:w="0" w:type="dxa"/>
          <w:right w:w="108" w:type="dxa"/>
        </w:tblCellMar>
      </w:tblPr>
      <w:tblGrid>
        <w:gridCol w:w="2041"/>
        <w:gridCol w:w="8491"/>
      </w:tblGrid>
      <w:tr>
        <w:tblPrEx>
          <w:tblLayout w:type="fixed"/>
          <w:tblCellMar>
            <w:top w:w="0" w:type="dxa"/>
            <w:left w:w="108" w:type="dxa"/>
            <w:bottom w:w="0" w:type="dxa"/>
            <w:right w:w="108" w:type="dxa"/>
          </w:tblCellMar>
        </w:tblPrEx>
        <w:trPr>
          <w:trHeight w:val="1410" w:hRule="atLeast"/>
        </w:trPr>
        <w:tc>
          <w:tcPr>
            <w:tcW w:w="2041" w:type="dxa"/>
            <w:tcBorders>
              <w:top w:val="nil"/>
              <w:left w:val="nil"/>
              <w:bottom w:val="nil"/>
              <w:right w:val="nil"/>
            </w:tcBorders>
            <w:vAlign w:val="center"/>
          </w:tcPr>
          <w:p>
            <w:pPr>
              <w:widowControl/>
              <w:jc w:val="center"/>
              <w:rPr>
                <w:rFonts w:ascii="方正小标宋_GBK" w:hAnsi="宋体" w:eastAsia="方正小标宋_GBK" w:cs="宋体"/>
                <w:b/>
                <w:bCs/>
                <w:color w:val="000000"/>
                <w:kern w:val="0"/>
                <w:sz w:val="36"/>
                <w:szCs w:val="36"/>
              </w:rPr>
            </w:pPr>
            <w:r>
              <w:rPr>
                <w:rFonts w:hint="eastAsia" w:ascii="方正小标宋_GBK" w:hAnsi="宋体" w:eastAsia="方正小标宋_GBK" w:cs="宋体"/>
                <w:b/>
                <w:bCs/>
                <w:color w:val="000000"/>
                <w:kern w:val="0"/>
                <w:sz w:val="36"/>
                <w:szCs w:val="36"/>
              </w:rPr>
              <w:t>序号</w:t>
            </w:r>
          </w:p>
        </w:tc>
        <w:tc>
          <w:tcPr>
            <w:tcW w:w="8491" w:type="dxa"/>
            <w:tcBorders>
              <w:top w:val="nil"/>
              <w:left w:val="nil"/>
              <w:bottom w:val="nil"/>
              <w:right w:val="nil"/>
            </w:tcBorders>
            <w:vAlign w:val="center"/>
          </w:tcPr>
          <w:p>
            <w:pPr>
              <w:widowControl/>
              <w:jc w:val="center"/>
              <w:rPr>
                <w:rFonts w:ascii="方正小标宋_GBK" w:hAnsi="宋体" w:eastAsia="方正小标宋_GBK" w:cs="宋体"/>
                <w:b/>
                <w:bCs/>
                <w:color w:val="000000"/>
                <w:kern w:val="0"/>
                <w:sz w:val="36"/>
                <w:szCs w:val="36"/>
              </w:rPr>
            </w:pPr>
            <w:r>
              <w:rPr>
                <w:rFonts w:hint="eastAsia" w:ascii="方正小标宋_GBK" w:hAnsi="宋体" w:eastAsia="方正小标宋_GBK" w:cs="宋体"/>
                <w:b/>
                <w:bCs/>
                <w:color w:val="000000"/>
                <w:kern w:val="0"/>
                <w:sz w:val="36"/>
                <w:szCs w:val="36"/>
              </w:rPr>
              <w:t>内容</w:t>
            </w:r>
          </w:p>
        </w:tc>
      </w:tr>
      <w:tr>
        <w:tblPrEx>
          <w:tblLayout w:type="fixed"/>
          <w:tblCellMar>
            <w:top w:w="0" w:type="dxa"/>
            <w:left w:w="108" w:type="dxa"/>
            <w:bottom w:w="0" w:type="dxa"/>
            <w:right w:w="108" w:type="dxa"/>
          </w:tblCellMar>
        </w:tblPrEx>
        <w:trPr>
          <w:trHeight w:val="702" w:hRule="atLeast"/>
        </w:trPr>
        <w:tc>
          <w:tcPr>
            <w:tcW w:w="2041" w:type="dxa"/>
            <w:tcBorders>
              <w:top w:val="nil"/>
              <w:left w:val="nil"/>
              <w:bottom w:val="nil"/>
              <w:right w:val="nil"/>
            </w:tcBorders>
            <w:vAlign w:val="center"/>
          </w:tcPr>
          <w:p>
            <w:pPr>
              <w:widowControl/>
              <w:jc w:val="center"/>
              <w:rPr>
                <w:rFonts w:ascii="宋体" w:cs="宋体"/>
                <w:color w:val="000000"/>
                <w:kern w:val="0"/>
                <w:sz w:val="32"/>
                <w:szCs w:val="32"/>
              </w:rPr>
            </w:pPr>
            <w:r>
              <w:rPr>
                <w:rFonts w:ascii="宋体" w:hAnsi="宋体" w:cs="宋体"/>
                <w:color w:val="000000"/>
                <w:kern w:val="0"/>
                <w:sz w:val="32"/>
                <w:szCs w:val="32"/>
              </w:rPr>
              <w:t>1</w:t>
            </w:r>
          </w:p>
        </w:tc>
        <w:tc>
          <w:tcPr>
            <w:tcW w:w="8491" w:type="dxa"/>
            <w:tcBorders>
              <w:top w:val="nil"/>
              <w:left w:val="nil"/>
              <w:bottom w:val="nil"/>
              <w:right w:val="nil"/>
            </w:tcBorders>
            <w:vAlign w:val="center"/>
          </w:tcPr>
          <w:p>
            <w:pPr>
              <w:autoSpaceDE w:val="0"/>
              <w:autoSpaceDN w:val="0"/>
              <w:spacing w:line="560" w:lineRule="exact"/>
              <w:ind w:firstLine="640" w:firstLineChars="200"/>
              <w:jc w:val="both"/>
              <w:rPr>
                <w:rFonts w:hint="eastAsia" w:ascii="宋体" w:hAnsi="宋体"/>
                <w:sz w:val="32"/>
                <w:szCs w:val="32"/>
                <w:lang w:eastAsia="zh-CN"/>
              </w:rPr>
            </w:pPr>
            <w:r>
              <w:rPr>
                <w:rFonts w:hint="eastAsia" w:ascii="宋体" w:hAnsi="宋体"/>
                <w:sz w:val="32"/>
                <w:szCs w:val="32"/>
                <w:lang w:eastAsia="zh-CN"/>
              </w:rPr>
              <w:t>基本职能及主要工作</w:t>
            </w:r>
          </w:p>
        </w:tc>
      </w:tr>
      <w:tr>
        <w:tblPrEx>
          <w:tblLayout w:type="fixed"/>
          <w:tblCellMar>
            <w:top w:w="0" w:type="dxa"/>
            <w:left w:w="108" w:type="dxa"/>
            <w:bottom w:w="0" w:type="dxa"/>
            <w:right w:w="108" w:type="dxa"/>
          </w:tblCellMar>
        </w:tblPrEx>
        <w:trPr>
          <w:trHeight w:val="702" w:hRule="atLeast"/>
        </w:trPr>
        <w:tc>
          <w:tcPr>
            <w:tcW w:w="2041" w:type="dxa"/>
            <w:tcBorders>
              <w:top w:val="nil"/>
              <w:left w:val="nil"/>
              <w:bottom w:val="nil"/>
              <w:right w:val="nil"/>
            </w:tcBorders>
            <w:vAlign w:val="center"/>
          </w:tcPr>
          <w:p>
            <w:pPr>
              <w:widowControl/>
              <w:jc w:val="center"/>
              <w:rPr>
                <w:rFonts w:ascii="宋体" w:cs="宋体"/>
                <w:color w:val="000000"/>
                <w:kern w:val="0"/>
                <w:sz w:val="32"/>
                <w:szCs w:val="32"/>
              </w:rPr>
            </w:pPr>
            <w:r>
              <w:rPr>
                <w:rFonts w:ascii="宋体" w:hAnsi="宋体" w:cs="宋体"/>
                <w:color w:val="000000"/>
                <w:kern w:val="0"/>
                <w:sz w:val="32"/>
                <w:szCs w:val="32"/>
              </w:rPr>
              <w:t>2</w:t>
            </w:r>
          </w:p>
        </w:tc>
        <w:tc>
          <w:tcPr>
            <w:tcW w:w="8491" w:type="dxa"/>
            <w:tcBorders>
              <w:top w:val="nil"/>
              <w:left w:val="nil"/>
              <w:bottom w:val="nil"/>
              <w:right w:val="nil"/>
            </w:tcBorders>
            <w:vAlign w:val="center"/>
          </w:tcPr>
          <w:p>
            <w:pPr>
              <w:autoSpaceDE w:val="0"/>
              <w:autoSpaceDN w:val="0"/>
              <w:spacing w:line="560" w:lineRule="exact"/>
              <w:ind w:firstLine="640" w:firstLineChars="200"/>
              <w:jc w:val="both"/>
              <w:rPr>
                <w:rFonts w:hint="eastAsia" w:ascii="宋体" w:hAnsi="宋体"/>
                <w:sz w:val="32"/>
                <w:szCs w:val="32"/>
                <w:lang w:eastAsia="zh-CN"/>
              </w:rPr>
            </w:pPr>
            <w:r>
              <w:rPr>
                <w:rFonts w:hint="eastAsia" w:ascii="宋体" w:hAnsi="宋体"/>
                <w:sz w:val="32"/>
                <w:szCs w:val="32"/>
                <w:lang w:eastAsia="zh-CN"/>
              </w:rPr>
              <w:t>预算单位基本情况</w:t>
            </w:r>
          </w:p>
        </w:tc>
      </w:tr>
      <w:tr>
        <w:tblPrEx>
          <w:tblLayout w:type="fixed"/>
          <w:tblCellMar>
            <w:top w:w="0" w:type="dxa"/>
            <w:left w:w="108" w:type="dxa"/>
            <w:bottom w:w="0" w:type="dxa"/>
            <w:right w:w="108" w:type="dxa"/>
          </w:tblCellMar>
        </w:tblPrEx>
        <w:trPr>
          <w:trHeight w:val="702" w:hRule="atLeast"/>
        </w:trPr>
        <w:tc>
          <w:tcPr>
            <w:tcW w:w="2041" w:type="dxa"/>
            <w:tcBorders>
              <w:top w:val="nil"/>
              <w:left w:val="nil"/>
              <w:bottom w:val="nil"/>
              <w:right w:val="nil"/>
            </w:tcBorders>
            <w:vAlign w:val="center"/>
          </w:tcPr>
          <w:p>
            <w:pPr>
              <w:widowControl/>
              <w:jc w:val="center"/>
              <w:rPr>
                <w:rFonts w:ascii="宋体" w:cs="宋体"/>
                <w:color w:val="000000"/>
                <w:kern w:val="0"/>
                <w:sz w:val="32"/>
                <w:szCs w:val="32"/>
              </w:rPr>
            </w:pPr>
            <w:r>
              <w:rPr>
                <w:rFonts w:ascii="宋体" w:hAnsi="宋体" w:cs="宋体"/>
                <w:color w:val="000000"/>
                <w:kern w:val="0"/>
                <w:sz w:val="32"/>
                <w:szCs w:val="32"/>
              </w:rPr>
              <w:t>3</w:t>
            </w:r>
          </w:p>
        </w:tc>
        <w:tc>
          <w:tcPr>
            <w:tcW w:w="8491" w:type="dxa"/>
            <w:tcBorders>
              <w:top w:val="nil"/>
              <w:left w:val="nil"/>
              <w:bottom w:val="nil"/>
              <w:right w:val="nil"/>
            </w:tcBorders>
            <w:vAlign w:val="center"/>
          </w:tcPr>
          <w:p>
            <w:pPr>
              <w:autoSpaceDE w:val="0"/>
              <w:autoSpaceDN w:val="0"/>
              <w:spacing w:line="560" w:lineRule="exact"/>
              <w:ind w:firstLine="640" w:firstLineChars="200"/>
              <w:jc w:val="both"/>
              <w:rPr>
                <w:rFonts w:hint="eastAsia" w:ascii="宋体" w:hAnsi="宋体"/>
                <w:sz w:val="32"/>
                <w:szCs w:val="32"/>
                <w:lang w:eastAsia="zh-CN"/>
              </w:rPr>
            </w:pPr>
            <w:r>
              <w:rPr>
                <w:rFonts w:hint="eastAsia" w:ascii="宋体" w:hAnsi="宋体"/>
                <w:sz w:val="32"/>
                <w:szCs w:val="32"/>
                <w:lang w:eastAsia="zh-CN"/>
              </w:rPr>
              <w:t>预算单位收入情况</w:t>
            </w:r>
          </w:p>
        </w:tc>
      </w:tr>
      <w:tr>
        <w:tblPrEx>
          <w:tblLayout w:type="fixed"/>
          <w:tblCellMar>
            <w:top w:w="0" w:type="dxa"/>
            <w:left w:w="108" w:type="dxa"/>
            <w:bottom w:w="0" w:type="dxa"/>
            <w:right w:w="108" w:type="dxa"/>
          </w:tblCellMar>
        </w:tblPrEx>
        <w:trPr>
          <w:trHeight w:val="702" w:hRule="atLeast"/>
        </w:trPr>
        <w:tc>
          <w:tcPr>
            <w:tcW w:w="2041" w:type="dxa"/>
            <w:tcBorders>
              <w:top w:val="nil"/>
              <w:left w:val="nil"/>
              <w:bottom w:val="nil"/>
              <w:right w:val="nil"/>
            </w:tcBorders>
            <w:vAlign w:val="center"/>
          </w:tcPr>
          <w:p>
            <w:pPr>
              <w:widowControl/>
              <w:jc w:val="center"/>
              <w:rPr>
                <w:rFonts w:ascii="宋体" w:cs="宋体"/>
                <w:color w:val="000000"/>
                <w:kern w:val="0"/>
                <w:sz w:val="32"/>
                <w:szCs w:val="32"/>
              </w:rPr>
            </w:pPr>
            <w:r>
              <w:rPr>
                <w:rFonts w:ascii="宋体" w:hAnsi="宋体" w:cs="宋体"/>
                <w:color w:val="000000"/>
                <w:kern w:val="0"/>
                <w:sz w:val="32"/>
                <w:szCs w:val="32"/>
              </w:rPr>
              <w:t>4</w:t>
            </w:r>
          </w:p>
        </w:tc>
        <w:tc>
          <w:tcPr>
            <w:tcW w:w="8491" w:type="dxa"/>
            <w:tcBorders>
              <w:top w:val="nil"/>
              <w:left w:val="nil"/>
              <w:bottom w:val="nil"/>
              <w:right w:val="nil"/>
            </w:tcBorders>
            <w:vAlign w:val="center"/>
          </w:tcPr>
          <w:p>
            <w:pPr>
              <w:autoSpaceDE w:val="0"/>
              <w:autoSpaceDN w:val="0"/>
              <w:spacing w:line="560" w:lineRule="exact"/>
              <w:ind w:firstLine="640" w:firstLineChars="200"/>
              <w:jc w:val="both"/>
              <w:rPr>
                <w:rFonts w:hint="eastAsia" w:ascii="宋体" w:hAnsi="宋体"/>
                <w:sz w:val="32"/>
                <w:szCs w:val="32"/>
                <w:lang w:eastAsia="zh-CN"/>
              </w:rPr>
            </w:pPr>
            <w:r>
              <w:rPr>
                <w:rFonts w:hint="eastAsia" w:ascii="宋体" w:hAnsi="宋体"/>
                <w:sz w:val="32"/>
                <w:szCs w:val="32"/>
                <w:lang w:eastAsia="zh-CN"/>
              </w:rPr>
              <w:t>预算单位支出情况</w:t>
            </w:r>
          </w:p>
        </w:tc>
      </w:tr>
      <w:tr>
        <w:tblPrEx>
          <w:tblLayout w:type="fixed"/>
          <w:tblCellMar>
            <w:top w:w="0" w:type="dxa"/>
            <w:left w:w="108" w:type="dxa"/>
            <w:bottom w:w="0" w:type="dxa"/>
            <w:right w:w="108" w:type="dxa"/>
          </w:tblCellMar>
        </w:tblPrEx>
        <w:trPr>
          <w:trHeight w:val="702" w:hRule="atLeast"/>
        </w:trPr>
        <w:tc>
          <w:tcPr>
            <w:tcW w:w="2041" w:type="dxa"/>
            <w:tcBorders>
              <w:top w:val="nil"/>
              <w:left w:val="nil"/>
              <w:bottom w:val="nil"/>
              <w:right w:val="nil"/>
            </w:tcBorders>
            <w:vAlign w:val="center"/>
          </w:tcPr>
          <w:p>
            <w:pPr>
              <w:widowControl/>
              <w:jc w:val="center"/>
              <w:rPr>
                <w:rFonts w:ascii="宋体" w:cs="宋体"/>
                <w:color w:val="000000"/>
                <w:kern w:val="0"/>
                <w:sz w:val="32"/>
                <w:szCs w:val="32"/>
              </w:rPr>
            </w:pPr>
            <w:r>
              <w:rPr>
                <w:rFonts w:ascii="宋体" w:hAnsi="宋体" w:cs="宋体"/>
                <w:color w:val="000000"/>
                <w:kern w:val="0"/>
                <w:sz w:val="32"/>
                <w:szCs w:val="32"/>
              </w:rPr>
              <w:t>5</w:t>
            </w:r>
          </w:p>
        </w:tc>
        <w:tc>
          <w:tcPr>
            <w:tcW w:w="8491" w:type="dxa"/>
            <w:tcBorders>
              <w:top w:val="nil"/>
              <w:left w:val="nil"/>
              <w:bottom w:val="nil"/>
              <w:right w:val="nil"/>
            </w:tcBorders>
            <w:vAlign w:val="center"/>
          </w:tcPr>
          <w:p>
            <w:pPr>
              <w:autoSpaceDE w:val="0"/>
              <w:autoSpaceDN w:val="0"/>
              <w:spacing w:line="560" w:lineRule="exact"/>
              <w:ind w:firstLine="640" w:firstLineChars="200"/>
              <w:jc w:val="both"/>
              <w:rPr>
                <w:rFonts w:hint="eastAsia" w:ascii="宋体" w:hAnsi="宋体"/>
                <w:sz w:val="32"/>
                <w:szCs w:val="32"/>
                <w:lang w:eastAsia="zh-CN"/>
              </w:rPr>
            </w:pPr>
            <w:r>
              <w:rPr>
                <w:rFonts w:hint="eastAsia" w:ascii="宋体" w:hAnsi="宋体"/>
                <w:sz w:val="32"/>
                <w:szCs w:val="32"/>
                <w:lang w:eastAsia="zh-CN"/>
              </w:rPr>
              <w:t>市对下专项转移支付情况</w:t>
            </w:r>
          </w:p>
        </w:tc>
      </w:tr>
      <w:tr>
        <w:tblPrEx>
          <w:tblLayout w:type="fixed"/>
          <w:tblCellMar>
            <w:top w:w="0" w:type="dxa"/>
            <w:left w:w="108" w:type="dxa"/>
            <w:bottom w:w="0" w:type="dxa"/>
            <w:right w:w="108" w:type="dxa"/>
          </w:tblCellMar>
        </w:tblPrEx>
        <w:trPr>
          <w:trHeight w:val="702" w:hRule="atLeast"/>
        </w:trPr>
        <w:tc>
          <w:tcPr>
            <w:tcW w:w="2041" w:type="dxa"/>
            <w:tcBorders>
              <w:top w:val="nil"/>
              <w:left w:val="nil"/>
              <w:bottom w:val="nil"/>
              <w:right w:val="nil"/>
            </w:tcBorders>
            <w:vAlign w:val="center"/>
          </w:tcPr>
          <w:p>
            <w:pPr>
              <w:widowControl/>
              <w:jc w:val="center"/>
              <w:rPr>
                <w:rFonts w:ascii="宋体" w:cs="宋体"/>
                <w:color w:val="000000"/>
                <w:kern w:val="0"/>
                <w:sz w:val="32"/>
                <w:szCs w:val="32"/>
              </w:rPr>
            </w:pPr>
            <w:r>
              <w:rPr>
                <w:rFonts w:ascii="宋体" w:hAnsi="宋体" w:cs="宋体"/>
                <w:color w:val="000000"/>
                <w:kern w:val="0"/>
                <w:sz w:val="32"/>
                <w:szCs w:val="32"/>
              </w:rPr>
              <w:t>6</w:t>
            </w:r>
          </w:p>
        </w:tc>
        <w:tc>
          <w:tcPr>
            <w:tcW w:w="8491" w:type="dxa"/>
            <w:tcBorders>
              <w:top w:val="nil"/>
              <w:left w:val="nil"/>
              <w:bottom w:val="nil"/>
              <w:right w:val="nil"/>
            </w:tcBorders>
            <w:vAlign w:val="bottom"/>
          </w:tcPr>
          <w:p>
            <w:pPr>
              <w:autoSpaceDE w:val="0"/>
              <w:autoSpaceDN w:val="0"/>
              <w:spacing w:line="560" w:lineRule="exact"/>
              <w:ind w:firstLine="640" w:firstLineChars="200"/>
              <w:jc w:val="both"/>
              <w:rPr>
                <w:rFonts w:hint="eastAsia" w:ascii="宋体" w:hAnsi="宋体"/>
                <w:sz w:val="32"/>
                <w:szCs w:val="32"/>
                <w:lang w:eastAsia="zh-CN"/>
              </w:rPr>
            </w:pPr>
            <w:r>
              <w:rPr>
                <w:rFonts w:hint="eastAsia" w:ascii="宋体" w:hAnsi="宋体"/>
                <w:sz w:val="32"/>
                <w:szCs w:val="32"/>
                <w:lang w:eastAsia="zh-CN"/>
              </w:rPr>
              <w:t xml:space="preserve">“三公”经费安排情况说明 </w:t>
            </w:r>
          </w:p>
        </w:tc>
      </w:tr>
      <w:tr>
        <w:tblPrEx>
          <w:tblLayout w:type="fixed"/>
          <w:tblCellMar>
            <w:top w:w="0" w:type="dxa"/>
            <w:left w:w="108" w:type="dxa"/>
            <w:bottom w:w="0" w:type="dxa"/>
            <w:right w:w="108" w:type="dxa"/>
          </w:tblCellMar>
        </w:tblPrEx>
        <w:trPr>
          <w:trHeight w:val="702" w:hRule="atLeast"/>
        </w:trPr>
        <w:tc>
          <w:tcPr>
            <w:tcW w:w="2041" w:type="dxa"/>
            <w:tcBorders>
              <w:top w:val="nil"/>
              <w:left w:val="nil"/>
              <w:bottom w:val="nil"/>
              <w:right w:val="nil"/>
            </w:tcBorders>
            <w:vAlign w:val="center"/>
          </w:tcPr>
          <w:p>
            <w:pPr>
              <w:widowControl/>
              <w:jc w:val="center"/>
              <w:rPr>
                <w:rFonts w:ascii="宋体" w:cs="宋体"/>
                <w:color w:val="000000"/>
                <w:kern w:val="0"/>
                <w:sz w:val="32"/>
                <w:szCs w:val="32"/>
              </w:rPr>
            </w:pPr>
            <w:r>
              <w:rPr>
                <w:rFonts w:ascii="宋体" w:hAnsi="宋体" w:cs="宋体"/>
                <w:color w:val="000000"/>
                <w:kern w:val="0"/>
                <w:sz w:val="32"/>
                <w:szCs w:val="32"/>
              </w:rPr>
              <w:t>7</w:t>
            </w:r>
          </w:p>
        </w:tc>
        <w:tc>
          <w:tcPr>
            <w:tcW w:w="8491" w:type="dxa"/>
            <w:tcBorders>
              <w:top w:val="nil"/>
              <w:left w:val="nil"/>
              <w:bottom w:val="nil"/>
              <w:right w:val="nil"/>
            </w:tcBorders>
            <w:vAlign w:val="bottom"/>
          </w:tcPr>
          <w:p>
            <w:pPr>
              <w:autoSpaceDE w:val="0"/>
              <w:autoSpaceDN w:val="0"/>
              <w:spacing w:line="560" w:lineRule="exact"/>
              <w:ind w:firstLine="640" w:firstLineChars="200"/>
              <w:jc w:val="both"/>
              <w:rPr>
                <w:rFonts w:hint="eastAsia" w:ascii="宋体" w:hAnsi="宋体"/>
                <w:sz w:val="32"/>
                <w:szCs w:val="32"/>
                <w:lang w:eastAsia="zh-CN"/>
              </w:rPr>
            </w:pPr>
            <w:r>
              <w:rPr>
                <w:rFonts w:hint="eastAsia" w:ascii="宋体" w:hAnsi="宋体"/>
                <w:sz w:val="32"/>
                <w:szCs w:val="32"/>
                <w:lang w:eastAsia="zh-CN"/>
              </w:rPr>
              <w:t>政府采购预算情况</w:t>
            </w:r>
          </w:p>
        </w:tc>
      </w:tr>
      <w:tr>
        <w:tblPrEx>
          <w:tblLayout w:type="fixed"/>
          <w:tblCellMar>
            <w:top w:w="0" w:type="dxa"/>
            <w:left w:w="108" w:type="dxa"/>
            <w:bottom w:w="0" w:type="dxa"/>
            <w:right w:w="108" w:type="dxa"/>
          </w:tblCellMar>
        </w:tblPrEx>
        <w:trPr>
          <w:trHeight w:val="702" w:hRule="atLeast"/>
        </w:trPr>
        <w:tc>
          <w:tcPr>
            <w:tcW w:w="2041" w:type="dxa"/>
            <w:tcBorders>
              <w:top w:val="nil"/>
              <w:left w:val="nil"/>
              <w:bottom w:val="nil"/>
              <w:right w:val="nil"/>
            </w:tcBorders>
            <w:vAlign w:val="center"/>
          </w:tcPr>
          <w:p>
            <w:pPr>
              <w:widowControl/>
              <w:jc w:val="center"/>
              <w:rPr>
                <w:rFonts w:ascii="宋体" w:cs="宋体"/>
                <w:color w:val="000000"/>
                <w:kern w:val="0"/>
                <w:sz w:val="32"/>
                <w:szCs w:val="32"/>
              </w:rPr>
            </w:pPr>
            <w:r>
              <w:rPr>
                <w:rFonts w:ascii="宋体" w:hAnsi="宋体" w:cs="宋体"/>
                <w:color w:val="000000"/>
                <w:kern w:val="0"/>
                <w:sz w:val="32"/>
                <w:szCs w:val="32"/>
              </w:rPr>
              <w:t>8</w:t>
            </w:r>
          </w:p>
        </w:tc>
        <w:tc>
          <w:tcPr>
            <w:tcW w:w="8491" w:type="dxa"/>
            <w:tcBorders>
              <w:top w:val="nil"/>
              <w:left w:val="nil"/>
              <w:bottom w:val="nil"/>
              <w:right w:val="nil"/>
            </w:tcBorders>
            <w:vAlign w:val="bottom"/>
          </w:tcPr>
          <w:p>
            <w:pPr>
              <w:autoSpaceDE w:val="0"/>
              <w:autoSpaceDN w:val="0"/>
              <w:spacing w:line="560" w:lineRule="exact"/>
              <w:ind w:firstLine="640" w:firstLineChars="200"/>
              <w:jc w:val="both"/>
              <w:rPr>
                <w:rFonts w:hint="eastAsia" w:ascii="宋体" w:hAnsi="宋体"/>
                <w:sz w:val="32"/>
                <w:szCs w:val="32"/>
                <w:lang w:eastAsia="zh-CN"/>
              </w:rPr>
            </w:pPr>
            <w:r>
              <w:rPr>
                <w:rFonts w:hint="eastAsia" w:ascii="宋体" w:hAnsi="宋体"/>
                <w:sz w:val="32"/>
                <w:szCs w:val="32"/>
                <w:lang w:eastAsia="zh-CN"/>
              </w:rPr>
              <w:t>基本支出预算变动的主要原因</w:t>
            </w:r>
          </w:p>
        </w:tc>
      </w:tr>
      <w:tr>
        <w:tblPrEx>
          <w:tblLayout w:type="fixed"/>
          <w:tblCellMar>
            <w:top w:w="0" w:type="dxa"/>
            <w:left w:w="108" w:type="dxa"/>
            <w:bottom w:w="0" w:type="dxa"/>
            <w:right w:w="108" w:type="dxa"/>
          </w:tblCellMar>
        </w:tblPrEx>
        <w:trPr>
          <w:trHeight w:val="702" w:hRule="atLeast"/>
        </w:trPr>
        <w:tc>
          <w:tcPr>
            <w:tcW w:w="2041" w:type="dxa"/>
            <w:tcBorders>
              <w:top w:val="nil"/>
              <w:left w:val="nil"/>
              <w:bottom w:val="nil"/>
              <w:right w:val="nil"/>
            </w:tcBorders>
            <w:vAlign w:val="center"/>
          </w:tcPr>
          <w:p>
            <w:pPr>
              <w:widowControl/>
              <w:jc w:val="center"/>
              <w:rPr>
                <w:rFonts w:ascii="宋体" w:cs="宋体"/>
                <w:color w:val="000000"/>
                <w:kern w:val="0"/>
                <w:sz w:val="32"/>
                <w:szCs w:val="32"/>
              </w:rPr>
            </w:pPr>
            <w:r>
              <w:rPr>
                <w:rFonts w:ascii="宋体" w:hAnsi="宋体" w:cs="宋体"/>
                <w:color w:val="000000"/>
                <w:kern w:val="0"/>
                <w:sz w:val="32"/>
                <w:szCs w:val="32"/>
              </w:rPr>
              <w:t>9</w:t>
            </w:r>
          </w:p>
        </w:tc>
        <w:tc>
          <w:tcPr>
            <w:tcW w:w="8491" w:type="dxa"/>
            <w:tcBorders>
              <w:top w:val="nil"/>
              <w:left w:val="nil"/>
              <w:bottom w:val="nil"/>
              <w:right w:val="nil"/>
            </w:tcBorders>
            <w:vAlign w:val="bottom"/>
          </w:tcPr>
          <w:p>
            <w:pPr>
              <w:autoSpaceDE w:val="0"/>
              <w:autoSpaceDN w:val="0"/>
              <w:spacing w:line="560" w:lineRule="exact"/>
              <w:ind w:firstLine="640" w:firstLineChars="200"/>
              <w:jc w:val="both"/>
              <w:rPr>
                <w:rFonts w:hint="eastAsia" w:ascii="宋体" w:hAnsi="宋体"/>
                <w:sz w:val="32"/>
                <w:szCs w:val="32"/>
                <w:lang w:eastAsia="zh-CN"/>
              </w:rPr>
            </w:pPr>
            <w:r>
              <w:rPr>
                <w:rFonts w:hint="eastAsia" w:ascii="宋体" w:hAnsi="宋体"/>
                <w:sz w:val="32"/>
                <w:szCs w:val="32"/>
                <w:lang w:eastAsia="zh-CN"/>
              </w:rPr>
              <w:t>项目支出预算变动的主要原因</w:t>
            </w:r>
          </w:p>
        </w:tc>
      </w:tr>
      <w:tr>
        <w:tblPrEx>
          <w:tblLayout w:type="fixed"/>
          <w:tblCellMar>
            <w:top w:w="0" w:type="dxa"/>
            <w:left w:w="108" w:type="dxa"/>
            <w:bottom w:w="0" w:type="dxa"/>
            <w:right w:w="108" w:type="dxa"/>
          </w:tblCellMar>
        </w:tblPrEx>
        <w:trPr>
          <w:trHeight w:val="702" w:hRule="atLeast"/>
        </w:trPr>
        <w:tc>
          <w:tcPr>
            <w:tcW w:w="2041" w:type="dxa"/>
            <w:tcBorders>
              <w:top w:val="nil"/>
              <w:left w:val="nil"/>
              <w:bottom w:val="nil"/>
              <w:right w:val="nil"/>
            </w:tcBorders>
            <w:vAlign w:val="center"/>
          </w:tcPr>
          <w:p>
            <w:pPr>
              <w:widowControl/>
              <w:jc w:val="center"/>
              <w:rPr>
                <w:rFonts w:ascii="宋体" w:cs="宋体"/>
                <w:color w:val="000000"/>
                <w:kern w:val="0"/>
                <w:sz w:val="32"/>
                <w:szCs w:val="32"/>
              </w:rPr>
            </w:pPr>
            <w:r>
              <w:rPr>
                <w:rFonts w:ascii="宋体" w:hAnsi="宋体" w:cs="宋体"/>
                <w:color w:val="000000"/>
                <w:kern w:val="0"/>
                <w:sz w:val="32"/>
                <w:szCs w:val="32"/>
              </w:rPr>
              <w:t>10</w:t>
            </w:r>
          </w:p>
        </w:tc>
        <w:tc>
          <w:tcPr>
            <w:tcW w:w="8491" w:type="dxa"/>
            <w:tcBorders>
              <w:top w:val="nil"/>
              <w:left w:val="nil"/>
              <w:bottom w:val="nil"/>
              <w:right w:val="nil"/>
            </w:tcBorders>
            <w:vAlign w:val="bottom"/>
          </w:tcPr>
          <w:p>
            <w:pPr>
              <w:autoSpaceDE w:val="0"/>
              <w:autoSpaceDN w:val="0"/>
              <w:spacing w:line="560" w:lineRule="exact"/>
              <w:ind w:firstLine="640" w:firstLineChars="200"/>
              <w:jc w:val="both"/>
              <w:rPr>
                <w:rFonts w:hint="eastAsia" w:ascii="宋体" w:hAnsi="宋体"/>
                <w:sz w:val="32"/>
                <w:szCs w:val="32"/>
                <w:lang w:eastAsia="zh-CN"/>
              </w:rPr>
            </w:pPr>
            <w:r>
              <w:rPr>
                <w:rFonts w:hint="eastAsia" w:ascii="宋体" w:hAnsi="宋体"/>
                <w:sz w:val="32"/>
                <w:szCs w:val="32"/>
                <w:lang w:eastAsia="zh-CN"/>
              </w:rPr>
              <w:t>其他公开信息</w:t>
            </w:r>
          </w:p>
        </w:tc>
      </w:tr>
    </w:tbl>
    <w:p>
      <w:pPr>
        <w:widowControl/>
        <w:ind w:firstLine="450" w:firstLineChars="150"/>
        <w:jc w:val="left"/>
        <w:rPr>
          <w:rFonts w:ascii="黑体" w:hAnsi="黑体" w:eastAsia="黑体"/>
          <w:kern w:val="0"/>
          <w:sz w:val="30"/>
          <w:szCs w:val="30"/>
        </w:rPr>
      </w:pPr>
    </w:p>
    <w:p>
      <w:pPr>
        <w:autoSpaceDE w:val="0"/>
        <w:autoSpaceDN w:val="0"/>
        <w:spacing w:line="560" w:lineRule="exact"/>
        <w:ind w:firstLine="643" w:firstLineChars="200"/>
        <w:jc w:val="left"/>
        <w:rPr>
          <w:rFonts w:hint="eastAsia" w:ascii="宋体" w:hAnsi="宋体"/>
          <w:b/>
          <w:bCs/>
          <w:sz w:val="32"/>
          <w:szCs w:val="32"/>
          <w:lang w:eastAsia="zh-CN"/>
        </w:rPr>
      </w:pPr>
      <w:r>
        <w:rPr>
          <w:rFonts w:hint="eastAsia" w:ascii="宋体" w:hAnsi="宋体"/>
          <w:b/>
          <w:bCs/>
          <w:sz w:val="32"/>
          <w:szCs w:val="32"/>
          <w:lang w:eastAsia="zh-CN"/>
        </w:rPr>
        <w:t>一、基本职能及主要工作</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（一）部门主要职责</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禄劝卫计局是受禄劝彝族苗族自治县人民政府委托对全县卫生计生工作进行管理的职能部门，主要职责是贯彻执行国家、省、市、县卫生计生、医药、职业病防治工作的法律法规和方针政策；拟订卫生计生以及促进医药事业发展中长期规划、年度计划并组织实施；协助推进医药卫生体制改革，统筹规划卫生计生服务资源配置，指导区域卫生计生规划的编制和实施。贯彻实施基层卫生计生服务、妇幼卫生发展规划和政策措施，指导基层卫生计生、妇幼卫生服务体系建设，推进基本公共卫生计生服务均等化，完善基层运行新机制和乡村医生管理制度。制定医疗机构和医疗服务全行业管理办法并监督实施。负责组织推进公立医院改革；贯彻落实国家药物政策和基本药物制度，执行国家药品法典和国家基本药物目录；负责综合管理中医（含中西医结合、民族医）的医疗、教育、科研工作；贯彻落实国家生育政策，组织实施促进出生人口性别平衡的政策措施；组织建立计划生育利益导向、计划生育特殊困难家庭扶助和计划生育家庭发展等机制；负责卫生计生宣传、健康教育、健康促进等工作。</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县级两家医院承担医疗、教学、传染病防治、急救、突发公共卫生事件。</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乡镇卫生院是政府举办的公立基层医疗卫生机构, 承担着辖区内的基本医疗及基本公共卫生服务，对辖区内常见病和多发病的诊疗、护理、康复等综合服务，并受县级卫生计生行政部门委托，承担辖区内的公共卫生管理工作，负责对村卫生室和社区卫生服务站的综合管理、技术指导和乡村医生的培训等工作，不以盈利为目的，属于公益性的事业单位，人员工资财政差额补助，人员经费不足部分及公用经费从医疗收入中弥补。</w:t>
      </w:r>
    </w:p>
    <w:p>
      <w:pPr>
        <w:autoSpaceDE w:val="0"/>
        <w:autoSpaceDN w:val="0"/>
        <w:spacing w:line="560" w:lineRule="exact"/>
        <w:ind w:firstLine="640" w:firstLineChars="200"/>
        <w:jc w:val="left"/>
        <w:rPr>
          <w:rFonts w:hint="eastAsia" w:ascii="宋体" w:hAnsi="宋体"/>
          <w:sz w:val="32"/>
          <w:szCs w:val="32"/>
          <w:lang w:eastAsia="zh-CN"/>
        </w:rPr>
      </w:pP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（二）机构设置情况</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卫计局机关内设科</w:t>
      </w:r>
      <w:r>
        <w:rPr>
          <w:rFonts w:hint="eastAsia" w:ascii="宋体" w:hAnsi="宋体"/>
          <w:sz w:val="32"/>
          <w:szCs w:val="32"/>
          <w:lang w:val="en-US" w:eastAsia="zh-CN"/>
        </w:rPr>
        <w:t>8</w:t>
      </w:r>
      <w:r>
        <w:rPr>
          <w:rFonts w:hint="eastAsia" w:ascii="宋体" w:hAnsi="宋体"/>
          <w:sz w:val="32"/>
          <w:szCs w:val="32"/>
          <w:lang w:eastAsia="zh-CN"/>
        </w:rPr>
        <w:t>个，下属县乡医疗机构</w:t>
      </w:r>
      <w:r>
        <w:rPr>
          <w:rFonts w:hint="eastAsia" w:ascii="宋体" w:hAnsi="宋体"/>
          <w:sz w:val="32"/>
          <w:szCs w:val="32"/>
          <w:lang w:val="en-US" w:eastAsia="zh-CN"/>
        </w:rPr>
        <w:t>18家，其中:乡镇卫生院16家，县级医院2家。</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（三）</w:t>
      </w:r>
      <w:r>
        <w:rPr>
          <w:rFonts w:hint="eastAsia" w:ascii="宋体" w:hAnsi="宋体"/>
          <w:sz w:val="32"/>
          <w:szCs w:val="32"/>
          <w:lang w:val="en-US" w:eastAsia="zh-CN"/>
        </w:rPr>
        <w:t>2018年</w:t>
      </w:r>
      <w:r>
        <w:rPr>
          <w:rFonts w:hint="eastAsia" w:ascii="宋体" w:hAnsi="宋体"/>
          <w:sz w:val="32"/>
          <w:szCs w:val="32"/>
          <w:lang w:eastAsia="zh-CN"/>
        </w:rPr>
        <w:t>重点工作概述</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val="en-US" w:eastAsia="zh-CN"/>
        </w:rPr>
        <w:t>1、</w:t>
      </w:r>
      <w:r>
        <w:rPr>
          <w:rFonts w:hint="eastAsia" w:ascii="宋体" w:hAnsi="宋体"/>
          <w:sz w:val="32"/>
          <w:szCs w:val="32"/>
          <w:lang w:eastAsia="zh-CN"/>
        </w:rPr>
        <w:t>巩固健康扶贫成果。全面贯彻落实中央、省、市关于健康扶贫工程的决策部署，以《云南省健康扶贫30条措施》为总纲领，聚焦聚力农村贫困人口，健全有效解决因病致贫因病返贫问题的长效机制，确保贫困人口100%参加医疗保险和大病保险，贫困人口医疗费用实际报销比例达到90%以上，个人自付部分低于10%。</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val="en-US" w:eastAsia="zh-CN"/>
        </w:rPr>
        <w:t>2、</w:t>
      </w:r>
      <w:r>
        <w:rPr>
          <w:rFonts w:hint="eastAsia" w:ascii="宋体" w:hAnsi="宋体"/>
          <w:sz w:val="32"/>
          <w:szCs w:val="32"/>
          <w:lang w:eastAsia="zh-CN"/>
        </w:rPr>
        <w:t>深化医药卫生体制改革。</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w:t>
      </w:r>
      <w:r>
        <w:rPr>
          <w:rFonts w:hint="eastAsia" w:ascii="宋体" w:hAnsi="宋体"/>
          <w:sz w:val="32"/>
          <w:szCs w:val="32"/>
          <w:lang w:val="en-US" w:eastAsia="zh-CN"/>
        </w:rPr>
        <w:t>1</w:t>
      </w:r>
      <w:r>
        <w:rPr>
          <w:rFonts w:hint="eastAsia" w:ascii="宋体" w:hAnsi="宋体"/>
          <w:sz w:val="32"/>
          <w:szCs w:val="32"/>
          <w:lang w:eastAsia="zh-CN"/>
        </w:rPr>
        <w:t>）.积极推进县级公立医院综合改革。以破除“以药养医”机制为关键环节，以建立现代医院管理制度为切入点，加强县级医院临床重点专科建设为核心，有效控制医疗费用过快增长，降低次均门（急）诊费用、次均住院天数，确保县级公立医院收支平衡，力争使县级公立医院医疗总费用增长控制在上年度的10%以内，门诊和住院次均费用控制在当地物价上涨指数范围内，使县域内就诊率提高到90%，患者和居民满意度提高到95%以上，逐步提高医务人员的满意率，基本实现大病不出县，使县级公立医院综合改革取得阶段性进展。</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w:t>
      </w:r>
      <w:r>
        <w:rPr>
          <w:rFonts w:hint="eastAsia" w:ascii="宋体" w:hAnsi="宋体"/>
          <w:sz w:val="32"/>
          <w:szCs w:val="32"/>
          <w:lang w:val="en-US" w:eastAsia="zh-CN"/>
        </w:rPr>
        <w:t>2</w:t>
      </w:r>
      <w:r>
        <w:rPr>
          <w:rFonts w:hint="eastAsia" w:ascii="宋体" w:hAnsi="宋体"/>
          <w:sz w:val="32"/>
          <w:szCs w:val="32"/>
          <w:lang w:eastAsia="zh-CN"/>
        </w:rPr>
        <w:t>）.进一步落实基层医疗卫生机构政府举办责任，为群众提供安全、有效、方便、价廉的医疗卫生服务。2018年内，力争将乡镇（街道）卫生院定位为财政全额拨款的公益性1类卫生事业单位，乡镇（街道）卫生院人员编制按照服务人口1‰的比例重新核定。</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w:t>
      </w:r>
      <w:r>
        <w:rPr>
          <w:rFonts w:hint="eastAsia" w:ascii="宋体" w:hAnsi="宋体"/>
          <w:sz w:val="32"/>
          <w:szCs w:val="32"/>
          <w:lang w:val="en-US" w:eastAsia="zh-CN"/>
        </w:rPr>
        <w:t>3</w:t>
      </w:r>
      <w:r>
        <w:rPr>
          <w:rFonts w:hint="eastAsia" w:ascii="宋体" w:hAnsi="宋体"/>
          <w:sz w:val="32"/>
          <w:szCs w:val="32"/>
          <w:lang w:eastAsia="zh-CN"/>
        </w:rPr>
        <w:t>）</w:t>
      </w:r>
      <w:r>
        <w:rPr>
          <w:rFonts w:hint="eastAsia" w:ascii="宋体" w:hAnsi="宋体"/>
          <w:sz w:val="32"/>
          <w:szCs w:val="32"/>
          <w:lang w:val="en-US" w:eastAsia="zh-CN"/>
        </w:rPr>
        <w:t>.</w:t>
      </w:r>
      <w:r>
        <w:rPr>
          <w:rFonts w:hint="eastAsia" w:ascii="宋体" w:hAnsi="宋体"/>
          <w:sz w:val="32"/>
          <w:szCs w:val="32"/>
          <w:lang w:eastAsia="zh-CN"/>
        </w:rPr>
        <w:t>启动县乡村医疗一体化管理工作。从2018年初开始，采取紧密型的一体化管理方式，由县级2家公立医院直接托管16个乡镇卫生院和189个村卫生室，建立“促县帮乡、县乡互动、乡村联动、协调发展”的医疗服务新格局，切实提高乡镇卫生院诊疗服务能力，落实“基层首诊、双向转诊”分级诊疗制度。</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w:t>
      </w:r>
      <w:r>
        <w:rPr>
          <w:rFonts w:hint="eastAsia" w:ascii="宋体" w:hAnsi="宋体"/>
          <w:sz w:val="32"/>
          <w:szCs w:val="32"/>
          <w:lang w:val="en-US" w:eastAsia="zh-CN"/>
        </w:rPr>
        <w:t>4</w:t>
      </w:r>
      <w:r>
        <w:rPr>
          <w:rFonts w:hint="eastAsia" w:ascii="宋体" w:hAnsi="宋体"/>
          <w:sz w:val="32"/>
          <w:szCs w:val="32"/>
          <w:lang w:eastAsia="zh-CN"/>
        </w:rPr>
        <w:t>）.启动医养结合试点。2018年，在乡镇养老院启动医养结合试点，不断推动普遍性服务和个性化服务协同发展，满足多层次、多样化的健康养老需求。</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val="en-US" w:eastAsia="zh-CN"/>
        </w:rPr>
        <w:t>3、</w:t>
      </w:r>
      <w:r>
        <w:rPr>
          <w:rFonts w:hint="eastAsia" w:ascii="宋体" w:hAnsi="宋体"/>
          <w:sz w:val="32"/>
          <w:szCs w:val="32"/>
          <w:lang w:eastAsia="zh-CN"/>
        </w:rPr>
        <w:t>认真做好计划生育服务管理工作。坚持计划生育基本国策，严格落实全面两个孩子政策，把计划生育工作纳入县委、县政府绩效管理考评内容和重大事项跟踪督查范围，层层签订目标管理责任书，严格责任追究和落实“一票否决”制。组织清理历史堆积未处理违法多生育案件，依法开展社会抚养费征收工作；加强流动人口服务管理，落实基本公共卫生计生服务均等化工作；建立出生婴儿性别比治理部门联席会议制度，认真开展“两非”专项整治行动；落实好国家孕前优生检查和叶酸增补项目，努力提高出生人口素质；严格计划生育奖励扶助政策兑现，优先让计生家庭享受改革成果；组织实施全县人口信息化建设，全面提升计划生育服务管理水平；全面加强基层计生协会组织网络建设和规范化建设，深入开展计划生育群众自治工作；广泛宣传全面两孩政策和计生法律法规，大力倡导科学、健康、依法、负责任的婚育观念，为计划生育工作营造良好氛围，确保人口自然增长率控制在7‰以内。</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val="en-US" w:eastAsia="zh-CN"/>
        </w:rPr>
        <w:t>4、</w:t>
      </w:r>
      <w:r>
        <w:rPr>
          <w:rFonts w:hint="eastAsia" w:ascii="宋体" w:hAnsi="宋体"/>
          <w:sz w:val="32"/>
          <w:szCs w:val="32"/>
          <w:lang w:eastAsia="zh-CN"/>
        </w:rPr>
        <w:t>扎实做好基本公共卫生服务。以推进基本公共卫生服务均等化为抓手，以健康教育为先导，更优质量更高水平地做好疾病预防控制、艾滋病防治、应急处置、妇幼卫生、爱国卫生和卫生执法监督工作。力争将居民平均期望寿命提高到78.5岁，孕产妇死亡率控制在25/10万以内，婴儿死亡率控制在10‰以内，甲乙类传染病发病率控制在200/10万以内。</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val="en-US" w:eastAsia="zh-CN"/>
        </w:rPr>
        <w:t>5、</w:t>
      </w:r>
      <w:r>
        <w:rPr>
          <w:rFonts w:hint="eastAsia" w:ascii="宋体" w:hAnsi="宋体"/>
          <w:sz w:val="32"/>
          <w:szCs w:val="32"/>
          <w:lang w:eastAsia="zh-CN"/>
        </w:rPr>
        <w:t>加强行业作风和医德医风建设。坚决贯彻落实中央“八项规定”和卫计系统“九不准”，有令必行，有禁必止。严格落实纠风工作责任制，以惩防体系建设为重点，完善以人、财、物管理使用为重点的廉政风险防范管理长效机制。加大对资金和项目的监管，充分发挥审计监督作用。深入开展医德医风和职业道德教育，坚持医德考评和民主评议政风行风工作。深入推进医药购销领域商业贿赂专项治理，严肃查处违纪违法行为。确保中央、省市重大决策部署的贯彻落实，为全县卫生计生事业的改革发展提供有力保障。</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val="en-US" w:eastAsia="zh-CN"/>
        </w:rPr>
        <w:t>6</w:t>
      </w:r>
      <w:r>
        <w:rPr>
          <w:rFonts w:hint="eastAsia" w:ascii="宋体" w:hAnsi="宋体"/>
          <w:sz w:val="32"/>
          <w:szCs w:val="32"/>
          <w:lang w:eastAsia="zh-CN"/>
        </w:rPr>
        <w:t>、重点项目</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（一）禄劝县中医院迁建项目</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1.基本情况：新建500个床位的二甲中医院一所。总建筑面积59878.08平方米，地面停车位402个，以及医疗设备购置。计划总投资3.567亿元。</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2.进展情况：项目完成选址、地勘、征地，支付征地费3580万元，完成可研、环评、资产评估等工作，目前在开展初步设计和施工图设计等前期准备工作，争取纳入全省第二批补短板项目，落实省级2.48亿元项目国开行项目贷款，计划2018年6月开工建设。</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（二）雪山乡卫生院综合楼项目</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1.基本情况：新建业务用房1200平方米，计划投资300万元。其中中央预算内投资240万元，市级配套48万元，两区配套12万元。目前，中央和市级配套资金288万元已到位，两区配套资金12万元还未落实。</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2.进展情况：项目于2017年12月开工，计划2018年6月底完工。</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（三）转龙镇卫生院综合楼项目</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1.基本情况：新建业务用房1200平方米，计划投资300万元。其中中央预算内投资240万元，市级配套48万元，两区配套12万元。目前，中央和市级配套资金288万元已到位，两区配套资金12万元还未落实。</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2.进展情况：项目于2017年12月开工，计划2018年6月底完工。</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（四）乌蒙乡卫生院综合楼项目</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1.基本情况：新建业务用房1200平方米，计划投资300万元。其中中央预算内投资240万元，市级配套48万元，两区配套12万元。目前，中央和市级配套资金288万元已到位，两区配套资金12万元还未落实。</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2.进展情况：项目于2017年12月开工，计划2018年10月底完工。</w:t>
      </w:r>
    </w:p>
    <w:p>
      <w:pPr>
        <w:autoSpaceDE w:val="0"/>
        <w:autoSpaceDN w:val="0"/>
        <w:spacing w:line="560" w:lineRule="exact"/>
        <w:ind w:firstLine="640" w:firstLineChars="200"/>
        <w:jc w:val="left"/>
        <w:rPr>
          <w:rFonts w:hint="eastAsia" w:ascii="宋体" w:hAnsi="宋体"/>
          <w:sz w:val="32"/>
          <w:szCs w:val="32"/>
          <w:lang w:eastAsia="zh-CN"/>
        </w:rPr>
      </w:pPr>
    </w:p>
    <w:p>
      <w:pPr>
        <w:autoSpaceDE w:val="0"/>
        <w:autoSpaceDN w:val="0"/>
        <w:spacing w:line="560" w:lineRule="exact"/>
        <w:ind w:firstLine="640" w:firstLineChars="200"/>
        <w:jc w:val="left"/>
        <w:rPr>
          <w:rFonts w:hint="eastAsia" w:ascii="宋体" w:hAnsi="宋体"/>
          <w:sz w:val="32"/>
          <w:szCs w:val="32"/>
          <w:lang w:eastAsia="zh-CN"/>
        </w:rPr>
      </w:pP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二、预算单位基本情况</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纳入2018年部门预算编报的单位共</w:t>
      </w:r>
      <w:r>
        <w:rPr>
          <w:rFonts w:hint="eastAsia" w:ascii="宋体" w:hAnsi="宋体"/>
          <w:sz w:val="32"/>
          <w:szCs w:val="32"/>
          <w:lang w:val="en-US" w:eastAsia="zh-CN"/>
        </w:rPr>
        <w:t>19</w:t>
      </w:r>
      <w:r>
        <w:rPr>
          <w:rFonts w:hint="eastAsia" w:ascii="宋体" w:hAnsi="宋体"/>
          <w:sz w:val="32"/>
          <w:szCs w:val="32"/>
          <w:lang w:eastAsia="zh-CN"/>
        </w:rPr>
        <w:t>个，其中：财政全供给单位1个，部分供给单位</w:t>
      </w:r>
      <w:r>
        <w:rPr>
          <w:rFonts w:hint="eastAsia" w:ascii="宋体" w:hAnsi="宋体"/>
          <w:sz w:val="32"/>
          <w:szCs w:val="32"/>
          <w:lang w:val="en-US" w:eastAsia="zh-CN"/>
        </w:rPr>
        <w:t>19</w:t>
      </w:r>
      <w:r>
        <w:rPr>
          <w:rFonts w:hint="eastAsia" w:ascii="宋体" w:hAnsi="宋体"/>
          <w:sz w:val="32"/>
          <w:szCs w:val="32"/>
          <w:lang w:eastAsia="zh-CN"/>
        </w:rPr>
        <w:t>个，特殊供给单位0个，自收自支单位0个；财政全供给单位中行政单位</w:t>
      </w:r>
      <w:r>
        <w:rPr>
          <w:rFonts w:hint="eastAsia" w:ascii="宋体" w:hAnsi="宋体"/>
          <w:sz w:val="32"/>
          <w:szCs w:val="32"/>
          <w:lang w:val="en-US" w:eastAsia="zh-CN"/>
        </w:rPr>
        <w:t>1</w:t>
      </w:r>
      <w:r>
        <w:rPr>
          <w:rFonts w:hint="eastAsia" w:ascii="宋体" w:hAnsi="宋体"/>
          <w:sz w:val="32"/>
          <w:szCs w:val="32"/>
          <w:lang w:eastAsia="zh-CN"/>
        </w:rPr>
        <w:t>个，参公管理事业单位</w:t>
      </w:r>
      <w:bookmarkStart w:id="0" w:name="_GoBack"/>
      <w:bookmarkEnd w:id="0"/>
      <w:r>
        <w:rPr>
          <w:rFonts w:hint="eastAsia" w:ascii="宋体" w:hAnsi="宋体"/>
          <w:sz w:val="32"/>
          <w:szCs w:val="32"/>
          <w:lang w:eastAsia="zh-CN"/>
        </w:rPr>
        <w:t>1个，非参公管理事业单位0个。部门在职人员编制</w:t>
      </w:r>
      <w:r>
        <w:rPr>
          <w:rFonts w:hint="eastAsia" w:ascii="宋体" w:hAnsi="宋体"/>
          <w:sz w:val="32"/>
          <w:szCs w:val="32"/>
          <w:lang w:val="en-US" w:eastAsia="zh-CN"/>
        </w:rPr>
        <w:t>876</w:t>
      </w:r>
      <w:r>
        <w:rPr>
          <w:rFonts w:hint="eastAsia" w:ascii="宋体" w:hAnsi="宋体"/>
          <w:sz w:val="32"/>
          <w:szCs w:val="32"/>
          <w:lang w:eastAsia="zh-CN"/>
        </w:rPr>
        <w:t>人，其中：行政编制</w:t>
      </w:r>
      <w:r>
        <w:rPr>
          <w:rFonts w:hint="eastAsia" w:ascii="宋体" w:hAnsi="宋体"/>
          <w:sz w:val="32"/>
          <w:szCs w:val="32"/>
          <w:lang w:val="en-US" w:eastAsia="zh-CN"/>
        </w:rPr>
        <w:t>39</w:t>
      </w:r>
      <w:r>
        <w:rPr>
          <w:rFonts w:hint="eastAsia" w:ascii="宋体" w:hAnsi="宋体"/>
          <w:sz w:val="32"/>
          <w:szCs w:val="32"/>
          <w:lang w:eastAsia="zh-CN"/>
        </w:rPr>
        <w:t>人，事业编制</w:t>
      </w:r>
      <w:r>
        <w:rPr>
          <w:rFonts w:hint="eastAsia" w:ascii="宋体" w:hAnsi="宋体"/>
          <w:sz w:val="32"/>
          <w:szCs w:val="32"/>
          <w:lang w:val="en-US" w:eastAsia="zh-CN"/>
        </w:rPr>
        <w:t>837</w:t>
      </w:r>
      <w:r>
        <w:rPr>
          <w:rFonts w:hint="eastAsia" w:ascii="宋体" w:hAnsi="宋体"/>
          <w:sz w:val="32"/>
          <w:szCs w:val="32"/>
          <w:lang w:eastAsia="zh-CN"/>
        </w:rPr>
        <w:t>人。在职实有</w:t>
      </w:r>
      <w:r>
        <w:rPr>
          <w:rFonts w:hint="eastAsia" w:ascii="宋体" w:hAnsi="宋体"/>
          <w:sz w:val="32"/>
          <w:szCs w:val="32"/>
          <w:lang w:val="en-US" w:eastAsia="zh-CN"/>
        </w:rPr>
        <w:t>820</w:t>
      </w:r>
      <w:r>
        <w:rPr>
          <w:rFonts w:hint="eastAsia" w:ascii="宋体" w:hAnsi="宋体"/>
          <w:sz w:val="32"/>
          <w:szCs w:val="32"/>
          <w:lang w:eastAsia="zh-CN"/>
        </w:rPr>
        <w:t>人，其中：财政全供养</w:t>
      </w:r>
      <w:r>
        <w:rPr>
          <w:rFonts w:hint="eastAsia" w:ascii="宋体" w:hAnsi="宋体"/>
          <w:sz w:val="32"/>
          <w:szCs w:val="32"/>
          <w:lang w:val="en-US" w:eastAsia="zh-CN"/>
        </w:rPr>
        <w:t>36</w:t>
      </w:r>
      <w:r>
        <w:rPr>
          <w:rFonts w:hint="eastAsia" w:ascii="宋体" w:hAnsi="宋体"/>
          <w:sz w:val="32"/>
          <w:szCs w:val="32"/>
          <w:lang w:eastAsia="zh-CN"/>
        </w:rPr>
        <w:t>人，财政部分供养</w:t>
      </w:r>
      <w:r>
        <w:rPr>
          <w:rFonts w:hint="eastAsia" w:ascii="宋体" w:hAnsi="宋体"/>
          <w:sz w:val="32"/>
          <w:szCs w:val="32"/>
          <w:lang w:val="en-US" w:eastAsia="zh-CN"/>
        </w:rPr>
        <w:t>784</w:t>
      </w:r>
      <w:r>
        <w:rPr>
          <w:rFonts w:hint="eastAsia" w:ascii="宋体" w:hAnsi="宋体"/>
          <w:sz w:val="32"/>
          <w:szCs w:val="32"/>
          <w:lang w:eastAsia="zh-CN"/>
        </w:rPr>
        <w:t>人。离退休人员2</w:t>
      </w:r>
      <w:r>
        <w:rPr>
          <w:rFonts w:hint="eastAsia" w:ascii="宋体" w:hAnsi="宋体"/>
          <w:sz w:val="32"/>
          <w:szCs w:val="32"/>
          <w:lang w:val="en-US" w:eastAsia="zh-CN"/>
        </w:rPr>
        <w:t>63</w:t>
      </w:r>
      <w:r>
        <w:rPr>
          <w:rFonts w:hint="eastAsia" w:ascii="宋体" w:hAnsi="宋体"/>
          <w:sz w:val="32"/>
          <w:szCs w:val="32"/>
          <w:lang w:eastAsia="zh-CN"/>
        </w:rPr>
        <w:t>人，其中：离休0人，退休</w:t>
      </w:r>
      <w:r>
        <w:rPr>
          <w:rFonts w:hint="eastAsia" w:ascii="宋体" w:hAnsi="宋体"/>
          <w:sz w:val="32"/>
          <w:szCs w:val="32"/>
          <w:lang w:val="en-US" w:eastAsia="zh-CN"/>
        </w:rPr>
        <w:t>263</w:t>
      </w:r>
      <w:r>
        <w:rPr>
          <w:rFonts w:hint="eastAsia" w:ascii="宋体" w:hAnsi="宋体"/>
          <w:sz w:val="32"/>
          <w:szCs w:val="32"/>
          <w:lang w:eastAsia="zh-CN"/>
        </w:rPr>
        <w:t>人。车辆编制</w:t>
      </w:r>
      <w:r>
        <w:rPr>
          <w:rFonts w:hint="eastAsia" w:ascii="宋体" w:hAnsi="宋体"/>
          <w:sz w:val="32"/>
          <w:szCs w:val="32"/>
          <w:lang w:val="en-US" w:eastAsia="zh-CN"/>
        </w:rPr>
        <w:t>27</w:t>
      </w:r>
      <w:r>
        <w:rPr>
          <w:rFonts w:hint="eastAsia" w:ascii="宋体" w:hAnsi="宋体"/>
          <w:sz w:val="32"/>
          <w:szCs w:val="32"/>
          <w:lang w:eastAsia="zh-CN"/>
        </w:rPr>
        <w:t>辆，实有车辆</w:t>
      </w:r>
      <w:r>
        <w:rPr>
          <w:rFonts w:hint="eastAsia" w:ascii="宋体" w:hAnsi="宋体"/>
          <w:sz w:val="32"/>
          <w:szCs w:val="32"/>
          <w:lang w:val="en-US" w:eastAsia="zh-CN"/>
        </w:rPr>
        <w:t>28</w:t>
      </w:r>
      <w:r>
        <w:rPr>
          <w:rFonts w:hint="eastAsia" w:ascii="宋体" w:hAnsi="宋体"/>
          <w:sz w:val="32"/>
          <w:szCs w:val="32"/>
          <w:lang w:eastAsia="zh-CN"/>
        </w:rPr>
        <w:t>辆。</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三、预算单位收入情况</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（一）部门财务收入情况</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 xml:space="preserve">2018年部门总收入 </w:t>
      </w:r>
      <w:r>
        <w:rPr>
          <w:rFonts w:hint="eastAsia" w:ascii="宋体" w:hAnsi="宋体"/>
          <w:sz w:val="32"/>
          <w:szCs w:val="32"/>
          <w:lang w:val="en-US" w:eastAsia="zh-CN"/>
        </w:rPr>
        <w:t>9029.67</w:t>
      </w:r>
      <w:r>
        <w:rPr>
          <w:rFonts w:hint="eastAsia" w:ascii="宋体" w:hAnsi="宋体"/>
          <w:sz w:val="32"/>
          <w:szCs w:val="32"/>
          <w:lang w:eastAsia="zh-CN"/>
        </w:rPr>
        <w:t>万元，其中：一般公共预算</w:t>
      </w:r>
      <w:r>
        <w:rPr>
          <w:rFonts w:hint="eastAsia" w:ascii="宋体" w:hAnsi="宋体"/>
          <w:sz w:val="32"/>
          <w:szCs w:val="32"/>
          <w:lang w:val="en-US" w:eastAsia="zh-CN"/>
        </w:rPr>
        <w:t>9029.67</w:t>
      </w:r>
      <w:r>
        <w:rPr>
          <w:rFonts w:hint="eastAsia" w:ascii="宋体" w:hAnsi="宋体"/>
          <w:sz w:val="32"/>
          <w:szCs w:val="32"/>
          <w:lang w:eastAsia="zh-CN"/>
        </w:rPr>
        <w:t>万元。</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（二）财政拨款收入情况</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2018年部门财政拨款收入</w:t>
      </w:r>
      <w:r>
        <w:rPr>
          <w:rFonts w:hint="eastAsia" w:ascii="宋体" w:hAnsi="宋体"/>
          <w:sz w:val="32"/>
          <w:szCs w:val="32"/>
          <w:lang w:val="en-US" w:eastAsia="zh-CN"/>
        </w:rPr>
        <w:t>9029.67</w:t>
      </w:r>
      <w:r>
        <w:rPr>
          <w:rFonts w:hint="eastAsia" w:ascii="宋体" w:hAnsi="宋体"/>
          <w:sz w:val="32"/>
          <w:szCs w:val="32"/>
          <w:lang w:eastAsia="zh-CN"/>
        </w:rPr>
        <w:t>万元，其中:本年收入</w:t>
      </w:r>
      <w:r>
        <w:rPr>
          <w:rFonts w:hint="eastAsia" w:ascii="宋体" w:hAnsi="宋体"/>
          <w:sz w:val="32"/>
          <w:szCs w:val="32"/>
          <w:lang w:val="en-US" w:eastAsia="zh-CN"/>
        </w:rPr>
        <w:t>9029.67</w:t>
      </w:r>
      <w:r>
        <w:rPr>
          <w:rFonts w:hint="eastAsia" w:ascii="宋体" w:hAnsi="宋体"/>
          <w:sz w:val="32"/>
          <w:szCs w:val="32"/>
          <w:lang w:eastAsia="zh-CN"/>
        </w:rPr>
        <w:t>万元，上年结转收入0万元。本年收入中，一般公共预算财政拨款</w:t>
      </w:r>
      <w:r>
        <w:rPr>
          <w:rFonts w:hint="eastAsia" w:ascii="宋体" w:hAnsi="宋体"/>
          <w:sz w:val="32"/>
          <w:szCs w:val="32"/>
          <w:lang w:val="en-US" w:eastAsia="zh-CN"/>
        </w:rPr>
        <w:t>9029.67</w:t>
      </w:r>
      <w:r>
        <w:rPr>
          <w:rFonts w:hint="eastAsia" w:ascii="宋体" w:hAnsi="宋体"/>
          <w:sz w:val="32"/>
          <w:szCs w:val="32"/>
          <w:lang w:eastAsia="zh-CN"/>
        </w:rPr>
        <w:t>万元（本级财力</w:t>
      </w:r>
      <w:r>
        <w:rPr>
          <w:rFonts w:hint="eastAsia" w:ascii="宋体" w:hAnsi="宋体"/>
          <w:sz w:val="32"/>
          <w:szCs w:val="32"/>
          <w:lang w:val="en-US" w:eastAsia="zh-CN"/>
        </w:rPr>
        <w:t>9029.67</w:t>
      </w:r>
      <w:r>
        <w:rPr>
          <w:rFonts w:hint="eastAsia" w:ascii="宋体" w:hAnsi="宋体"/>
          <w:sz w:val="32"/>
          <w:szCs w:val="32"/>
          <w:lang w:eastAsia="zh-CN"/>
        </w:rPr>
        <w:t>万元）。</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四、预算单位支出情况</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 xml:space="preserve">2018年部门预算总支出 </w:t>
      </w:r>
      <w:r>
        <w:rPr>
          <w:rFonts w:hint="eastAsia" w:ascii="宋体" w:hAnsi="宋体"/>
          <w:sz w:val="32"/>
          <w:szCs w:val="32"/>
          <w:lang w:val="en-US" w:eastAsia="zh-CN"/>
        </w:rPr>
        <w:t>9029.67</w:t>
      </w:r>
      <w:r>
        <w:rPr>
          <w:rFonts w:hint="eastAsia" w:ascii="宋体" w:hAnsi="宋体"/>
          <w:sz w:val="32"/>
          <w:szCs w:val="32"/>
          <w:lang w:eastAsia="zh-CN"/>
        </w:rPr>
        <w:t>万元。本级财力安排支出</w:t>
      </w:r>
      <w:r>
        <w:rPr>
          <w:rFonts w:hint="eastAsia" w:ascii="宋体" w:hAnsi="宋体"/>
          <w:sz w:val="32"/>
          <w:szCs w:val="32"/>
          <w:lang w:val="en-US" w:eastAsia="zh-CN"/>
        </w:rPr>
        <w:t>9029.67</w:t>
      </w:r>
      <w:r>
        <w:rPr>
          <w:rFonts w:hint="eastAsia" w:ascii="宋体" w:hAnsi="宋体"/>
          <w:sz w:val="32"/>
          <w:szCs w:val="32"/>
          <w:lang w:eastAsia="zh-CN"/>
        </w:rPr>
        <w:t>万元，其中，基本支出</w:t>
      </w:r>
      <w:r>
        <w:rPr>
          <w:rFonts w:hint="eastAsia" w:ascii="宋体" w:hAnsi="宋体"/>
          <w:sz w:val="32"/>
          <w:szCs w:val="32"/>
          <w:lang w:val="en-US" w:eastAsia="zh-CN"/>
        </w:rPr>
        <w:t>8831.67</w:t>
      </w:r>
      <w:r>
        <w:rPr>
          <w:rFonts w:hint="eastAsia" w:ascii="宋体" w:hAnsi="宋体"/>
          <w:sz w:val="32"/>
          <w:szCs w:val="32"/>
          <w:lang w:eastAsia="zh-CN"/>
        </w:rPr>
        <w:t>万元，项目支出</w:t>
      </w:r>
      <w:r>
        <w:rPr>
          <w:rFonts w:hint="eastAsia" w:ascii="宋体" w:hAnsi="宋体"/>
          <w:sz w:val="32"/>
          <w:szCs w:val="32"/>
          <w:lang w:val="en-US" w:eastAsia="zh-CN"/>
        </w:rPr>
        <w:t>198</w:t>
      </w:r>
      <w:r>
        <w:rPr>
          <w:rFonts w:hint="eastAsia" w:ascii="宋体" w:hAnsi="宋体"/>
          <w:sz w:val="32"/>
          <w:szCs w:val="32"/>
          <w:lang w:eastAsia="zh-CN"/>
        </w:rPr>
        <w:t>万元。</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（一）本级财力支出按功能科目分类情况</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1、工资福利支出：</w:t>
      </w:r>
      <w:r>
        <w:rPr>
          <w:rFonts w:hint="eastAsia" w:ascii="宋体" w:hAnsi="宋体"/>
          <w:sz w:val="32"/>
          <w:szCs w:val="32"/>
          <w:lang w:val="en-US" w:eastAsia="zh-CN"/>
        </w:rPr>
        <w:t>8185.37</w:t>
      </w:r>
      <w:r>
        <w:rPr>
          <w:rFonts w:hint="eastAsia" w:ascii="宋体" w:hAnsi="宋体"/>
          <w:sz w:val="32"/>
          <w:szCs w:val="32"/>
          <w:lang w:eastAsia="zh-CN"/>
        </w:rPr>
        <w:t>万元</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其中：基本工资：</w:t>
      </w:r>
      <w:r>
        <w:rPr>
          <w:rFonts w:hint="eastAsia" w:ascii="宋体" w:hAnsi="宋体"/>
          <w:sz w:val="32"/>
          <w:szCs w:val="32"/>
          <w:lang w:val="en-US" w:eastAsia="zh-CN"/>
        </w:rPr>
        <w:t>3498.7</w:t>
      </w:r>
      <w:r>
        <w:rPr>
          <w:rFonts w:hint="eastAsia" w:ascii="宋体" w:hAnsi="宋体"/>
          <w:sz w:val="32"/>
          <w:szCs w:val="32"/>
          <w:lang w:eastAsia="zh-CN"/>
        </w:rPr>
        <w:t>万元；津贴补贴：</w:t>
      </w:r>
      <w:r>
        <w:rPr>
          <w:rFonts w:hint="eastAsia" w:ascii="宋体" w:hAnsi="宋体"/>
          <w:sz w:val="32"/>
          <w:szCs w:val="32"/>
          <w:lang w:val="en-US" w:eastAsia="zh-CN"/>
        </w:rPr>
        <w:t>2678.23</w:t>
      </w:r>
      <w:r>
        <w:rPr>
          <w:rFonts w:hint="eastAsia" w:ascii="宋体" w:hAnsi="宋体"/>
          <w:sz w:val="32"/>
          <w:szCs w:val="32"/>
          <w:lang w:eastAsia="zh-CN"/>
        </w:rPr>
        <w:t>万元；奖金：</w:t>
      </w:r>
      <w:r>
        <w:rPr>
          <w:rFonts w:hint="eastAsia" w:ascii="宋体" w:hAnsi="宋体"/>
          <w:sz w:val="32"/>
          <w:szCs w:val="32"/>
          <w:lang w:val="en-US" w:eastAsia="zh-CN"/>
        </w:rPr>
        <w:t>28.8</w:t>
      </w:r>
      <w:r>
        <w:rPr>
          <w:rFonts w:hint="eastAsia" w:ascii="宋体" w:hAnsi="宋体"/>
          <w:sz w:val="32"/>
          <w:szCs w:val="32"/>
          <w:lang w:eastAsia="zh-CN"/>
        </w:rPr>
        <w:t>万元；绩效工资：</w:t>
      </w:r>
      <w:r>
        <w:rPr>
          <w:rFonts w:hint="eastAsia" w:ascii="宋体" w:hAnsi="宋体"/>
          <w:sz w:val="32"/>
          <w:szCs w:val="32"/>
          <w:lang w:val="en-US" w:eastAsia="zh-CN"/>
        </w:rPr>
        <w:t>0</w:t>
      </w:r>
      <w:r>
        <w:rPr>
          <w:rFonts w:hint="eastAsia" w:ascii="宋体" w:hAnsi="宋体"/>
          <w:sz w:val="32"/>
          <w:szCs w:val="32"/>
          <w:lang w:eastAsia="zh-CN"/>
        </w:rPr>
        <w:t>万元；职工基本医疗保险及公务员医疗补助：</w:t>
      </w:r>
      <w:r>
        <w:rPr>
          <w:rFonts w:hint="eastAsia" w:ascii="宋体" w:hAnsi="宋体"/>
          <w:sz w:val="32"/>
          <w:szCs w:val="32"/>
          <w:lang w:val="en-US" w:eastAsia="zh-CN"/>
        </w:rPr>
        <w:t>1338.8</w:t>
      </w:r>
      <w:r>
        <w:rPr>
          <w:rFonts w:hint="eastAsia" w:ascii="宋体" w:hAnsi="宋体"/>
          <w:sz w:val="32"/>
          <w:szCs w:val="32"/>
          <w:lang w:eastAsia="zh-CN"/>
        </w:rPr>
        <w:t>万元；基本养老保险</w:t>
      </w:r>
      <w:r>
        <w:rPr>
          <w:rFonts w:hint="eastAsia" w:ascii="宋体" w:hAnsi="宋体"/>
          <w:sz w:val="32"/>
          <w:szCs w:val="32"/>
          <w:lang w:val="en-US" w:eastAsia="zh-CN"/>
        </w:rPr>
        <w:t>640.84</w:t>
      </w:r>
      <w:r>
        <w:rPr>
          <w:rFonts w:hint="eastAsia" w:ascii="宋体" w:hAnsi="宋体"/>
          <w:sz w:val="32"/>
          <w:szCs w:val="32"/>
          <w:lang w:eastAsia="zh-CN"/>
        </w:rPr>
        <w:t>万元；住房公积金：</w:t>
      </w:r>
      <w:r>
        <w:rPr>
          <w:rFonts w:hint="eastAsia" w:ascii="宋体" w:hAnsi="宋体"/>
          <w:sz w:val="32"/>
          <w:szCs w:val="32"/>
          <w:lang w:val="en-US" w:eastAsia="zh-CN"/>
        </w:rPr>
        <w:t>589.04</w:t>
      </w:r>
      <w:r>
        <w:rPr>
          <w:rFonts w:hint="eastAsia" w:ascii="宋体" w:hAnsi="宋体"/>
          <w:sz w:val="32"/>
          <w:szCs w:val="32"/>
          <w:lang w:eastAsia="zh-CN"/>
        </w:rPr>
        <w:t>万元。</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 xml:space="preserve"> 2、商品服务支出</w:t>
      </w:r>
      <w:r>
        <w:rPr>
          <w:rFonts w:hint="eastAsia" w:ascii="宋体" w:hAnsi="宋体"/>
          <w:sz w:val="32"/>
          <w:szCs w:val="32"/>
          <w:lang w:val="en-US" w:eastAsia="zh-CN"/>
        </w:rPr>
        <w:t>57.26</w:t>
      </w:r>
      <w:r>
        <w:rPr>
          <w:rFonts w:hint="eastAsia" w:ascii="宋体" w:hAnsi="宋体"/>
          <w:sz w:val="32"/>
          <w:szCs w:val="32"/>
          <w:lang w:eastAsia="zh-CN"/>
        </w:rPr>
        <w:t>元</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其中：办公费：</w:t>
      </w:r>
      <w:r>
        <w:rPr>
          <w:rFonts w:hint="eastAsia" w:ascii="宋体" w:hAnsi="宋体"/>
          <w:sz w:val="32"/>
          <w:szCs w:val="32"/>
          <w:lang w:val="en-US" w:eastAsia="zh-CN"/>
        </w:rPr>
        <w:t>7.56</w:t>
      </w:r>
      <w:r>
        <w:rPr>
          <w:rFonts w:hint="eastAsia" w:ascii="宋体" w:hAnsi="宋体"/>
          <w:sz w:val="32"/>
          <w:szCs w:val="32"/>
          <w:lang w:eastAsia="zh-CN"/>
        </w:rPr>
        <w:t>万元；车燃费</w:t>
      </w:r>
      <w:r>
        <w:rPr>
          <w:rFonts w:hint="eastAsia" w:ascii="宋体" w:hAnsi="宋体"/>
          <w:sz w:val="32"/>
          <w:szCs w:val="32"/>
          <w:lang w:val="en-US" w:eastAsia="zh-CN"/>
        </w:rPr>
        <w:t>0.6</w:t>
      </w:r>
      <w:r>
        <w:rPr>
          <w:rFonts w:hint="eastAsia" w:ascii="宋体" w:hAnsi="宋体"/>
          <w:sz w:val="32"/>
          <w:szCs w:val="32"/>
          <w:lang w:eastAsia="zh-CN"/>
        </w:rPr>
        <w:t>万元；工会费：</w:t>
      </w:r>
      <w:r>
        <w:rPr>
          <w:rFonts w:hint="eastAsia" w:ascii="宋体" w:hAnsi="宋体"/>
          <w:sz w:val="32"/>
          <w:szCs w:val="32"/>
          <w:lang w:val="en-US" w:eastAsia="zh-CN"/>
        </w:rPr>
        <w:t>32.8</w:t>
      </w:r>
      <w:r>
        <w:rPr>
          <w:rFonts w:hint="eastAsia" w:ascii="宋体" w:hAnsi="宋体"/>
          <w:sz w:val="32"/>
          <w:szCs w:val="32"/>
          <w:lang w:eastAsia="zh-CN"/>
        </w:rPr>
        <w:t>万元,福利费</w:t>
      </w:r>
      <w:r>
        <w:rPr>
          <w:rFonts w:hint="eastAsia" w:ascii="宋体" w:hAnsi="宋体"/>
          <w:sz w:val="32"/>
          <w:szCs w:val="32"/>
          <w:lang w:val="en-US" w:eastAsia="zh-CN"/>
        </w:rPr>
        <w:t>16.3</w:t>
      </w:r>
      <w:r>
        <w:rPr>
          <w:rFonts w:hint="eastAsia" w:ascii="宋体" w:hAnsi="宋体"/>
          <w:sz w:val="32"/>
          <w:szCs w:val="32"/>
          <w:lang w:eastAsia="zh-CN"/>
        </w:rPr>
        <w:t>万元。</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3、对个人和家庭补助支出：0元</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（二）本级财力支出按经济科目分类情况</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按支出经济分类科目分组（其中：基本支出</w:t>
      </w:r>
      <w:r>
        <w:rPr>
          <w:rFonts w:hint="eastAsia" w:ascii="宋体" w:hAnsi="宋体"/>
          <w:sz w:val="32"/>
          <w:szCs w:val="32"/>
          <w:lang w:val="en-US" w:eastAsia="zh-CN"/>
        </w:rPr>
        <w:t>8831.67</w:t>
      </w:r>
      <w:r>
        <w:rPr>
          <w:rFonts w:hint="eastAsia" w:ascii="宋体" w:hAnsi="宋体"/>
          <w:sz w:val="32"/>
          <w:szCs w:val="32"/>
          <w:lang w:eastAsia="zh-CN"/>
        </w:rPr>
        <w:t>万元，项目支出</w:t>
      </w:r>
      <w:r>
        <w:rPr>
          <w:rFonts w:hint="eastAsia" w:ascii="宋体" w:hAnsi="宋体"/>
          <w:sz w:val="32"/>
          <w:szCs w:val="32"/>
          <w:lang w:val="en-US" w:eastAsia="zh-CN"/>
        </w:rPr>
        <w:t>198</w:t>
      </w:r>
      <w:r>
        <w:rPr>
          <w:rFonts w:hint="eastAsia" w:ascii="宋体" w:hAnsi="宋体"/>
          <w:sz w:val="32"/>
          <w:szCs w:val="32"/>
          <w:lang w:eastAsia="zh-CN"/>
        </w:rPr>
        <w:t>万元）。</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五、市对下专项转移支付情况</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（一）列入市对下专项转移支付项目清单项目情况</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部门列入市对下专项转移支付项目清单项目为：基本公共卫服务金额0万元，艾滋病防治0万元。合计：0万元。主要用于基本公共卫服务和艾滋病防治。</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（二）与中央配套事项</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功能科目分组，主要用于基本公共卫服务和艾滋病防治。</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（三）按既定政策标准测算补助事项</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功能科目分组，主要用于基本公共卫服务和艾滋病防治。</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 xml:space="preserve">六、“三公”经费安排情况说明 </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2018年部门“三公”经费预算</w:t>
      </w:r>
      <w:r>
        <w:rPr>
          <w:rFonts w:hint="eastAsia" w:ascii="宋体" w:hAnsi="宋体"/>
          <w:sz w:val="32"/>
          <w:szCs w:val="32"/>
          <w:lang w:val="en-US" w:eastAsia="zh-CN"/>
        </w:rPr>
        <w:t>0.6</w:t>
      </w:r>
      <w:r>
        <w:rPr>
          <w:rFonts w:hint="eastAsia" w:ascii="宋体" w:hAnsi="宋体"/>
          <w:sz w:val="32"/>
          <w:szCs w:val="32"/>
          <w:lang w:eastAsia="zh-CN"/>
        </w:rPr>
        <w:t>万元，比上年预算数增加（减少）0万元，其中：因公出国（境）费0万元，比上年预算数增加（减少）0万元；2.公务接待费0万元，比上年预算数增加（减少）0万元；3.公务用车购置及运行费2.4万元，比上年预算数增加（减少）0万元。</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七、政府采购预算情况</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 xml:space="preserve">    根据《中华人民共和国政府采购法》的有关规定，编制了政府采购预算，共涉及采购项目0个，采购预算资金0万元。（若无政府采购，请填写2018年部门无政府采购预算）</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八、预算收支增减变化情况说明</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2018年本级财力安排禄劝彝族苗族自治县卫计局机关及县乡医疗机构部门基本支出</w:t>
      </w:r>
      <w:r>
        <w:rPr>
          <w:rFonts w:hint="eastAsia" w:ascii="宋体" w:hAnsi="宋体"/>
          <w:sz w:val="32"/>
          <w:szCs w:val="32"/>
          <w:lang w:val="en-US" w:eastAsia="zh-CN"/>
        </w:rPr>
        <w:t>8831.67</w:t>
      </w:r>
      <w:r>
        <w:rPr>
          <w:rFonts w:hint="eastAsia" w:ascii="宋体" w:hAnsi="宋体"/>
          <w:sz w:val="32"/>
          <w:szCs w:val="32"/>
          <w:lang w:eastAsia="zh-CN"/>
        </w:rPr>
        <w:t>万元，与上年对比增有所增加，增加的原因主要是：职工工资正常晋升</w:t>
      </w:r>
      <w:r>
        <w:rPr>
          <w:rFonts w:hint="eastAsia" w:ascii="宋体" w:hAnsi="宋体"/>
          <w:sz w:val="32"/>
          <w:szCs w:val="32"/>
          <w:lang w:val="en-US" w:eastAsia="zh-CN"/>
        </w:rPr>
        <w:t>。</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九、项目支出预算变动的主要原因</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2018年本级财力安排禄劝彝族苗族自治县卫计局部门项目支出</w:t>
      </w:r>
      <w:r>
        <w:rPr>
          <w:rFonts w:hint="eastAsia" w:ascii="宋体" w:hAnsi="宋体"/>
          <w:sz w:val="32"/>
          <w:szCs w:val="32"/>
          <w:lang w:val="en-US" w:eastAsia="zh-CN"/>
        </w:rPr>
        <w:t>198</w:t>
      </w:r>
      <w:r>
        <w:rPr>
          <w:rFonts w:hint="eastAsia" w:ascii="宋体" w:hAnsi="宋体"/>
          <w:sz w:val="32"/>
          <w:szCs w:val="32"/>
          <w:lang w:eastAsia="zh-CN"/>
        </w:rPr>
        <w:t>万元，与上年对比减少</w:t>
      </w:r>
      <w:r>
        <w:rPr>
          <w:rFonts w:hint="eastAsia" w:ascii="宋体" w:hAnsi="宋体"/>
          <w:sz w:val="32"/>
          <w:szCs w:val="32"/>
          <w:lang w:val="en-US" w:eastAsia="zh-CN"/>
        </w:rPr>
        <w:t>141</w:t>
      </w:r>
      <w:r>
        <w:rPr>
          <w:rFonts w:hint="eastAsia" w:ascii="宋体" w:hAnsi="宋体"/>
          <w:sz w:val="32"/>
          <w:szCs w:val="32"/>
          <w:lang w:eastAsia="zh-CN"/>
        </w:rPr>
        <w:t>万元，</w:t>
      </w:r>
      <w:r>
        <w:rPr>
          <w:rFonts w:hint="eastAsia" w:ascii="宋体" w:hAnsi="宋体"/>
          <w:sz w:val="32"/>
          <w:szCs w:val="32"/>
          <w:lang w:val="en-US" w:eastAsia="zh-CN"/>
        </w:rPr>
        <w:t>减少41.59%</w:t>
      </w:r>
      <w:r>
        <w:rPr>
          <w:rFonts w:hint="eastAsia" w:ascii="宋体" w:hAnsi="宋体"/>
          <w:sz w:val="32"/>
          <w:szCs w:val="32"/>
          <w:lang w:eastAsia="zh-CN"/>
        </w:rPr>
        <w:t>。</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十、其他公开信息</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（一）专业名词解释</w:t>
      </w:r>
    </w:p>
    <w:p>
      <w:pPr>
        <w:autoSpaceDE w:val="0"/>
        <w:autoSpaceDN w:val="0"/>
        <w:spacing w:line="560" w:lineRule="exact"/>
        <w:ind w:firstLine="640" w:firstLineChars="200"/>
        <w:jc w:val="left"/>
        <w:rPr>
          <w:rFonts w:hint="eastAsia" w:ascii="宋体" w:hAnsi="宋体"/>
          <w:sz w:val="32"/>
          <w:szCs w:val="32"/>
          <w:lang w:eastAsia="zh-CN"/>
        </w:rPr>
      </w:pPr>
      <w:r>
        <w:rPr>
          <w:rFonts w:hint="eastAsia" w:ascii="宋体" w:hAnsi="宋体"/>
          <w:sz w:val="32"/>
          <w:szCs w:val="32"/>
          <w:lang w:eastAsia="zh-CN"/>
        </w:rPr>
        <w:t xml:space="preserve"> “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autoSpaceDE w:val="0"/>
        <w:autoSpaceDN w:val="0"/>
        <w:spacing w:line="560" w:lineRule="exact"/>
        <w:ind w:firstLine="640" w:firstLineChars="200"/>
        <w:jc w:val="left"/>
        <w:rPr>
          <w:rFonts w:hint="eastAsia" w:ascii="宋体" w:hAnsi="宋体"/>
          <w:sz w:val="32"/>
          <w:szCs w:val="32"/>
          <w:lang w:eastAsia="zh-CN"/>
        </w:rPr>
      </w:pPr>
    </w:p>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宋体"/>
    <w:panose1 w:val="00000000000000000000"/>
    <w:charset w:val="86"/>
    <w:family w:val="roman"/>
    <w:pitch w:val="default"/>
    <w:sig w:usb0="00000000" w:usb1="00000000" w:usb2="0000001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94354"/>
    <w:rsid w:val="0001431C"/>
    <w:rsid w:val="000206B9"/>
    <w:rsid w:val="000307CF"/>
    <w:rsid w:val="00086EBF"/>
    <w:rsid w:val="00097272"/>
    <w:rsid w:val="000A5E01"/>
    <w:rsid w:val="001547C8"/>
    <w:rsid w:val="001956DB"/>
    <w:rsid w:val="001C7ECC"/>
    <w:rsid w:val="001D120C"/>
    <w:rsid w:val="0022384C"/>
    <w:rsid w:val="00287B13"/>
    <w:rsid w:val="002A264E"/>
    <w:rsid w:val="002B32E1"/>
    <w:rsid w:val="003D65C0"/>
    <w:rsid w:val="00423EA8"/>
    <w:rsid w:val="00425737"/>
    <w:rsid w:val="004D6CA5"/>
    <w:rsid w:val="005054B5"/>
    <w:rsid w:val="00555F8E"/>
    <w:rsid w:val="005614D8"/>
    <w:rsid w:val="005916A7"/>
    <w:rsid w:val="005A6867"/>
    <w:rsid w:val="005B0A4A"/>
    <w:rsid w:val="005D37A4"/>
    <w:rsid w:val="00622A89"/>
    <w:rsid w:val="006B7538"/>
    <w:rsid w:val="006F3881"/>
    <w:rsid w:val="0071483E"/>
    <w:rsid w:val="00771D83"/>
    <w:rsid w:val="00793AD9"/>
    <w:rsid w:val="00794354"/>
    <w:rsid w:val="007A5D71"/>
    <w:rsid w:val="007C0664"/>
    <w:rsid w:val="00876408"/>
    <w:rsid w:val="008B091A"/>
    <w:rsid w:val="008B456B"/>
    <w:rsid w:val="008E18BC"/>
    <w:rsid w:val="00953A2E"/>
    <w:rsid w:val="00960924"/>
    <w:rsid w:val="009A2224"/>
    <w:rsid w:val="009E3AAA"/>
    <w:rsid w:val="00A13EBA"/>
    <w:rsid w:val="00A1762E"/>
    <w:rsid w:val="00A43636"/>
    <w:rsid w:val="00B740DD"/>
    <w:rsid w:val="00B75657"/>
    <w:rsid w:val="00BB0895"/>
    <w:rsid w:val="00BE2934"/>
    <w:rsid w:val="00BE7EF7"/>
    <w:rsid w:val="00C52352"/>
    <w:rsid w:val="00C768D3"/>
    <w:rsid w:val="00D07122"/>
    <w:rsid w:val="00D17EB7"/>
    <w:rsid w:val="00D21B95"/>
    <w:rsid w:val="00D25F34"/>
    <w:rsid w:val="00D67B74"/>
    <w:rsid w:val="00D74B92"/>
    <w:rsid w:val="00DA4B96"/>
    <w:rsid w:val="00DD7CF9"/>
    <w:rsid w:val="00DF1C3A"/>
    <w:rsid w:val="00E114AC"/>
    <w:rsid w:val="00E45A42"/>
    <w:rsid w:val="00E85822"/>
    <w:rsid w:val="00EC0132"/>
    <w:rsid w:val="00EC03E9"/>
    <w:rsid w:val="00EC211F"/>
    <w:rsid w:val="00F517D4"/>
    <w:rsid w:val="00FB7B31"/>
    <w:rsid w:val="02BB50B0"/>
    <w:rsid w:val="276E63A2"/>
    <w:rsid w:val="276F6C01"/>
    <w:rsid w:val="2D8411D0"/>
    <w:rsid w:val="54787422"/>
    <w:rsid w:val="687642F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99"/>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semiHidden/>
    <w:qFormat/>
    <w:uiPriority w:val="99"/>
    <w:pPr>
      <w:tabs>
        <w:tab w:val="center" w:pos="4153"/>
        <w:tab w:val="right" w:pos="8306"/>
      </w:tabs>
      <w:snapToGrid w:val="0"/>
      <w:jc w:val="left"/>
    </w:pPr>
    <w:rPr>
      <w:rFonts w:ascii="Calibri" w:hAnsi="Calibri"/>
      <w:sz w:val="18"/>
      <w:szCs w:val="18"/>
    </w:rPr>
  </w:style>
  <w:style w:type="paragraph" w:styleId="3">
    <w:name w:val="header"/>
    <w:basedOn w:val="1"/>
    <w:link w:val="7"/>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4">
    <w:name w:val="Normal (Web)"/>
    <w:basedOn w:val="1"/>
    <w:semiHidden/>
    <w:qFormat/>
    <w:uiPriority w:val="99"/>
    <w:pPr>
      <w:widowControl/>
      <w:spacing w:before="100" w:beforeAutospacing="1" w:after="100" w:afterAutospacing="1"/>
      <w:jc w:val="left"/>
    </w:pPr>
    <w:rPr>
      <w:rFonts w:ascii="宋体" w:hAnsi="宋体" w:cs="宋体"/>
      <w:kern w:val="0"/>
      <w:sz w:val="24"/>
    </w:rPr>
  </w:style>
  <w:style w:type="character" w:customStyle="1" w:styleId="7">
    <w:name w:val="Header Char"/>
    <w:basedOn w:val="5"/>
    <w:link w:val="3"/>
    <w:semiHidden/>
    <w:qFormat/>
    <w:locked/>
    <w:uiPriority w:val="99"/>
    <w:rPr>
      <w:rFonts w:cs="Times New Roman"/>
      <w:sz w:val="18"/>
      <w:szCs w:val="18"/>
    </w:rPr>
  </w:style>
  <w:style w:type="character" w:customStyle="1" w:styleId="8">
    <w:name w:val="Footer Char"/>
    <w:basedOn w:val="5"/>
    <w:link w:val="2"/>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6</Pages>
  <Words>366</Words>
  <Characters>2090</Characters>
  <Lines>0</Lines>
  <Paragraphs>0</Paragraphs>
  <ScaleCrop>false</ScaleCrop>
  <LinksUpToDate>false</LinksUpToDate>
  <CharactersWithSpaces>0</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2018-03-01T02:08:00Z</dcterms:created>
  <dc:creator>周强</dc:creator>
  <cp:lastModifiedBy>赵现海</cp:lastModifiedBy>
  <dcterms:modified xsi:type="dcterms:W3CDTF">2018-03-07T02:18:45Z</dcterms:modified>
  <dc:title>XX部门XX年部门预算编制说明</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