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</w:rPr>
        <w:t>汤郎乡2018年部门预算编制说明</w:t>
      </w:r>
    </w:p>
    <w:p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widowControl/>
        <w:numPr>
          <w:ilvl w:val="0"/>
          <w:numId w:val="1"/>
        </w:numPr>
        <w:ind w:firstLine="450" w:firstLineChars="150"/>
        <w:jc w:val="left"/>
        <w:rPr>
          <w:rFonts w:hint="eastAsia" w:ascii="黑体" w:hAnsi="黑体" w:eastAsia="黑体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预算编制目录</w:t>
      </w:r>
    </w:p>
    <w:p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 xml:space="preserve">  1、基本职能及主要工作</w:t>
      </w:r>
    </w:p>
    <w:p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 xml:space="preserve">  2、预算单位基本情况</w:t>
      </w:r>
    </w:p>
    <w:p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 xml:space="preserve">  3、预算单位收入情况</w:t>
      </w:r>
    </w:p>
    <w:p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 xml:space="preserve">  4、预算单位收情况</w:t>
      </w:r>
    </w:p>
    <w:p>
      <w:pPr>
        <w:widowControl/>
        <w:numPr>
          <w:ilvl w:val="0"/>
          <w:numId w:val="2"/>
        </w:numPr>
        <w:ind w:firstLine="300" w:firstLineChars="100"/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>市对下转项转移支付情况</w:t>
      </w:r>
    </w:p>
    <w:p>
      <w:pPr>
        <w:widowControl/>
        <w:numPr>
          <w:ilvl w:val="0"/>
          <w:numId w:val="2"/>
        </w:numPr>
        <w:ind w:firstLine="300" w:firstLineChars="100"/>
        <w:jc w:val="left"/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ascii="黑体" w:hAnsi="黑体" w:eastAsia="黑体"/>
          <w:bCs/>
          <w:sz w:val="30"/>
          <w:szCs w:val="30"/>
        </w:rPr>
        <w:t>“</w:t>
      </w:r>
      <w:r>
        <w:rPr>
          <w:rFonts w:hint="eastAsia" w:ascii="仿宋" w:hAnsi="仿宋" w:eastAsia="仿宋" w:cs="仿宋"/>
          <w:b w:val="0"/>
          <w:bCs w:val="0"/>
          <w:kern w:val="0"/>
          <w:sz w:val="30"/>
          <w:szCs w:val="30"/>
          <w:lang w:val="en-US" w:eastAsia="zh-CN"/>
        </w:rPr>
        <w:t xml:space="preserve">三公”经费安排情况说明 </w:t>
      </w:r>
    </w:p>
    <w:p>
      <w:pPr>
        <w:widowControl/>
        <w:numPr>
          <w:ilvl w:val="0"/>
          <w:numId w:val="2"/>
        </w:numPr>
        <w:ind w:firstLine="300" w:firstLineChars="100"/>
        <w:jc w:val="left"/>
        <w:rPr>
          <w:rFonts w:hint="eastAsia" w:ascii="仿宋" w:hAnsi="仿宋" w:eastAsia="仿宋" w:cs="仿宋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政府采购预算情况</w:t>
      </w:r>
    </w:p>
    <w:p>
      <w:pPr>
        <w:widowControl/>
        <w:numPr>
          <w:ilvl w:val="0"/>
          <w:numId w:val="2"/>
        </w:numPr>
        <w:ind w:firstLine="300" w:firstLineChars="100"/>
        <w:jc w:val="left"/>
        <w:rPr>
          <w:rFonts w:hint="eastAsia"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基本支出预算变动的主要原因</w:t>
      </w:r>
    </w:p>
    <w:p>
      <w:pPr>
        <w:widowControl/>
        <w:numPr>
          <w:ilvl w:val="0"/>
          <w:numId w:val="2"/>
        </w:numPr>
        <w:ind w:firstLine="300" w:firstLineChars="100"/>
        <w:jc w:val="left"/>
        <w:rPr>
          <w:rFonts w:hint="eastAsia" w:ascii="仿宋" w:hAnsi="仿宋" w:eastAsia="仿宋" w:cs="仿宋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项目支出预算变动的主要原因</w:t>
      </w:r>
    </w:p>
    <w:p>
      <w:pPr>
        <w:widowControl/>
        <w:numPr>
          <w:ilvl w:val="0"/>
          <w:numId w:val="2"/>
        </w:numPr>
        <w:ind w:firstLine="300" w:firstLineChars="1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仿宋" w:hAnsi="仿宋" w:eastAsia="仿宋" w:cs="仿宋"/>
          <w:kern w:val="0"/>
          <w:sz w:val="30"/>
          <w:szCs w:val="30"/>
        </w:rPr>
        <w:t>其他公开信息</w:t>
      </w:r>
    </w:p>
    <w:p>
      <w:pPr>
        <w:widowControl/>
        <w:numPr>
          <w:ilvl w:val="0"/>
          <w:numId w:val="0"/>
        </w:numPr>
        <w:ind w:firstLine="300" w:firstLineChars="1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二</w:t>
      </w:r>
      <w:r>
        <w:rPr>
          <w:rFonts w:ascii="黑体" w:hAnsi="黑体" w:eastAsia="黑体"/>
          <w:kern w:val="0"/>
          <w:sz w:val="30"/>
          <w:szCs w:val="30"/>
        </w:rPr>
        <w:t>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widowControl/>
        <w:ind w:firstLine="300" w:firstLineChars="1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部门主要职责：（1）制定和组织实施经济、科技和社会发展计划，制定资源开发技术改造和产业结构调整方案，组织指导好各业生产，搞好商品流通，协调好本乡与外地区的经济交流与合作，抓好招商引资，人才引进项目开发，不断培育市场体系，组织经济运行，促进经济发展。（2）制定并组织实施村镇建设规划，部署重点工程建设，地方道路建设及公共设施，水利设施的管理，负责土地、林木、水等自然资源和生态环境的保护，做好护林防火工作。（3）负责本行政区域内的民政、计划生育、文化教育、卫生、体育等社会公益事业的综合性工作，维护一切经济单位和个人的正当经济权益，取缔非法经济活动，调解和处理民事纠纷，打击刑事犯罪维护社会稳定。（4）按计划组织本级财政收入和地方税的征收，完成国家财政计划，不断培植税源，管好财政资金，增强财政实力。（5）抓好精神文明建设，丰富群众文化生活，提倡移风易俗，反对封建迷信，破除陈规陋习，树立社会主义新风尚。（6）完成上级政府交办的其它事项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widowControl/>
        <w:ind w:firstLine="301" w:firstLineChars="1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仿宋" w:eastAsia="仿宋_GB2312"/>
          <w:b/>
          <w:bCs/>
          <w:sz w:val="30"/>
          <w:szCs w:val="30"/>
        </w:rPr>
        <w:t xml:space="preserve"> </w:t>
      </w:r>
      <w:r>
        <w:rPr>
          <w:rFonts w:hint="eastAsia" w:ascii="仿宋" w:hAnsi="仿宋" w:eastAsia="仿宋"/>
          <w:sz w:val="30"/>
          <w:szCs w:val="30"/>
        </w:rPr>
        <w:t>列入本次预算的独立编制机构11个，独立核算机构11各，其中：行政3个，事业8个。机构与上年相同。</w:t>
      </w:r>
    </w:p>
    <w:p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widowControl/>
        <w:ind w:firstLine="600" w:firstLineChars="200"/>
        <w:jc w:val="left"/>
        <w:rPr>
          <w:rFonts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进一步落实好脱贫攻坚工作重点，扎实抓好住房安全、就业增收、产业扶贫等工作，继续加大民生投入，促进群众增收。继续加强基础设施建设，不断改善全乡交通、饮水、照明、垃圾清运等各项事关群众生产生活的设施条件，全面优化全乡人居环境。继续推动经济增长，创造更多就业机会，实现更多群众就近择业，促进群众收入增加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三</w:t>
      </w:r>
      <w:r>
        <w:rPr>
          <w:rFonts w:ascii="黑体" w:hAnsi="黑体" w:eastAsia="黑体"/>
          <w:kern w:val="0"/>
          <w:sz w:val="30"/>
          <w:szCs w:val="30"/>
        </w:rPr>
        <w:t>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</w:rPr>
        <w:t>11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30"/>
          <w:szCs w:val="30"/>
        </w:rPr>
        <w:t xml:space="preserve"> </w:t>
      </w:r>
      <w:r>
        <w:rPr>
          <w:rFonts w:hint="eastAsia" w:eastAsia="仿宋_GB2312"/>
          <w:kern w:val="0"/>
          <w:sz w:val="30"/>
          <w:szCs w:val="30"/>
        </w:rPr>
        <w:t>分别是：人大、政府、财政、党委、文化、广播、计生、村镇规划建设服务中心、农业推广服务中心、林业、水务</w:t>
      </w:r>
      <w:r>
        <w:rPr>
          <w:rFonts w:eastAsia="仿宋_GB2312"/>
          <w:kern w:val="0"/>
          <w:sz w:val="30"/>
          <w:szCs w:val="30"/>
        </w:rPr>
        <w:t>。其中：财政全供给单位</w:t>
      </w:r>
      <w:r>
        <w:rPr>
          <w:rFonts w:hint="eastAsia" w:eastAsia="仿宋_GB2312"/>
          <w:kern w:val="0"/>
          <w:sz w:val="30"/>
          <w:szCs w:val="30"/>
        </w:rPr>
        <w:t>11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hint="eastAsia" w:eastAsia="仿宋_GB2312"/>
          <w:kern w:val="0"/>
          <w:sz w:val="30"/>
          <w:szCs w:val="30"/>
        </w:rPr>
        <w:t>3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hint="eastAsia" w:eastAsia="仿宋_GB2312"/>
          <w:kern w:val="0"/>
          <w:sz w:val="30"/>
          <w:szCs w:val="30"/>
        </w:rPr>
        <w:t>1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hint="eastAsia" w:eastAsia="仿宋_GB2312"/>
          <w:kern w:val="0"/>
          <w:sz w:val="30"/>
          <w:szCs w:val="30"/>
        </w:rPr>
        <w:t>7</w:t>
      </w:r>
      <w:r>
        <w:rPr>
          <w:rFonts w:eastAsia="仿宋_GB2312"/>
          <w:kern w:val="0"/>
          <w:sz w:val="30"/>
          <w:szCs w:val="30"/>
        </w:rPr>
        <w:t>个。截止2017年11月统计，部门基本情况如下：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</w:rPr>
        <w:t>69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</w:rPr>
        <w:t>31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</w:rPr>
        <w:t>38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</w:rPr>
        <w:t>61</w:t>
      </w:r>
      <w:r>
        <w:rPr>
          <w:rFonts w:eastAsia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eastAsia="仿宋_GB2312"/>
          <w:kern w:val="0"/>
          <w:sz w:val="30"/>
          <w:szCs w:val="30"/>
        </w:rPr>
        <w:t>61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离退休人员 </w:t>
      </w:r>
      <w:r>
        <w:rPr>
          <w:rFonts w:hint="eastAsia" w:eastAsia="仿宋_GB2312"/>
          <w:kern w:val="0"/>
          <w:sz w:val="30"/>
          <w:szCs w:val="30"/>
        </w:rPr>
        <w:t>9</w:t>
      </w:r>
      <w:r>
        <w:rPr>
          <w:rFonts w:eastAsia="仿宋_GB2312"/>
          <w:kern w:val="0"/>
          <w:sz w:val="30"/>
          <w:szCs w:val="30"/>
        </w:rPr>
        <w:t xml:space="preserve">人，其中： 离休 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</w:rPr>
        <w:t>9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</w:rPr>
        <w:t>4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</w:rPr>
        <w:t>4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（各部门可结合实际制作基本情况分布图表等）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四</w:t>
      </w:r>
      <w:r>
        <w:rPr>
          <w:rFonts w:ascii="黑体" w:hAnsi="黑体" w:eastAsia="黑体"/>
          <w:kern w:val="0"/>
          <w:sz w:val="30"/>
          <w:szCs w:val="30"/>
        </w:rPr>
        <w:t>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年部门财务总收入 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 xml:space="preserve">部门财政拨款收入 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五</w:t>
      </w:r>
      <w:r>
        <w:rPr>
          <w:rFonts w:ascii="黑体" w:hAnsi="黑体" w:eastAsia="黑体"/>
          <w:kern w:val="0"/>
          <w:sz w:val="30"/>
          <w:szCs w:val="30"/>
        </w:rPr>
        <w:t>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万元。本级财力安排支出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列：201-999，其他一般公共服务支出198.48万元；201-01,人大事务支出12.25万元；201-03，政府办公厅(室)及相关机构事务支出234.36万元；201-0399，其他政府办公厅（室）及相关事务支出38万元；201-06，财政事务支出32.91万元；20131-01，党委办公厅（室）及相关机构事务支出48.33万元；207-0109，文化体育与传媒支出23.94万元；207-0404， 新闻出版广播影视支出11.51；208-0505，机关事业单位基本养老保险缴费支出110.45万元；210-0101，计生支出23.69万元；210-1103，行政事业单位医疗支出27.3万元；210-1201，财政对基本医疗保险基金的补助支出56.37万元；212-0199，城乡社区管理事务支出52.89万元；213-0104，农业支出179.71万元；213-0204，林业支出31.23万元；213-0310，水利支出47.76万元；221-0201，住房改革支出65.06万元。以上十七项支合计是：1194.24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</w:rPr>
        <w:t>1194.24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</w:rPr>
        <w:t>0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六</w:t>
      </w:r>
      <w:r>
        <w:rPr>
          <w:rFonts w:ascii="黑体" w:hAnsi="黑体" w:eastAsia="黑体"/>
          <w:kern w:val="0"/>
          <w:sz w:val="30"/>
          <w:szCs w:val="30"/>
        </w:rPr>
        <w:t>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</w:t>
      </w: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专</w:t>
      </w:r>
      <w:r>
        <w:rPr>
          <w:rFonts w:ascii="黑体" w:hAnsi="黑体" w:eastAsia="黑体"/>
          <w:kern w:val="0"/>
          <w:sz w:val="30"/>
          <w:szCs w:val="30"/>
        </w:rPr>
        <w:t>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部门列入</w:t>
      </w:r>
      <w:r>
        <w:rPr>
          <w:rFonts w:hint="eastAsia" w:eastAsia="仿宋_GB2312"/>
          <w:kern w:val="0"/>
          <w:sz w:val="30"/>
          <w:szCs w:val="30"/>
        </w:rPr>
        <w:t>市</w:t>
      </w:r>
      <w:r>
        <w:rPr>
          <w:rFonts w:eastAsia="仿宋_GB2312"/>
          <w:kern w:val="0"/>
          <w:sz w:val="30"/>
          <w:szCs w:val="30"/>
        </w:rPr>
        <w:t>对下专项转移支付项目清单项目为：  金额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万元，主要用于……。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</w:p>
    <w:p>
      <w:pPr>
        <w:widowControl/>
        <w:ind w:firstLine="301" w:firstLineChars="1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</w:p>
    <w:p>
      <w:pPr>
        <w:ind w:firstLine="300" w:firstLineChars="1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七</w:t>
      </w:r>
      <w:r>
        <w:rPr>
          <w:rFonts w:ascii="黑体" w:hAnsi="黑体" w:eastAsia="黑体"/>
          <w:kern w:val="0"/>
          <w:sz w:val="30"/>
          <w:szCs w:val="30"/>
        </w:rPr>
        <w:t>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2018年部门“三公”经费预算17.65万元，比上年预算数减少0.75万元，其中：因公出国（境）费0万元，比上年预算数增加（减少）0万元；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公务接待费15.25万元，比上年预算数减少0.75万元；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公务用车购置及运行费2.4万元，比上年预算数增加（减少）0万元。“三公”经费增加（减少）的原因主要是</w:t>
      </w:r>
      <w:r>
        <w:rPr>
          <w:rFonts w:eastAsia="仿宋_GB2312"/>
          <w:kern w:val="0"/>
          <w:sz w:val="30"/>
          <w:szCs w:val="30"/>
        </w:rPr>
        <w:t>:</w:t>
      </w:r>
      <w:r>
        <w:rPr>
          <w:rFonts w:hint="eastAsia" w:eastAsia="仿宋_GB2312"/>
          <w:kern w:val="0"/>
          <w:sz w:val="30"/>
          <w:szCs w:val="30"/>
        </w:rPr>
        <w:t>提倡节约，不大吃大喝，所以接待费较上年有所减少。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八</w:t>
      </w:r>
      <w:r>
        <w:rPr>
          <w:rFonts w:hint="eastAsia" w:ascii="黑体" w:hAnsi="黑体" w:eastAsia="黑体"/>
          <w:kern w:val="0"/>
          <w:sz w:val="30"/>
          <w:szCs w:val="30"/>
        </w:rPr>
        <w:t>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</w:t>
      </w:r>
      <w:r>
        <w:rPr>
          <w:rFonts w:hint="eastAsia" w:eastAsia="仿宋_GB2312"/>
          <w:kern w:val="0"/>
          <w:sz w:val="30"/>
          <w:szCs w:val="30"/>
        </w:rPr>
        <w:t>2018年汤郎乡无政府采购预算。</w:t>
      </w:r>
    </w:p>
    <w:p>
      <w:pPr>
        <w:widowControl/>
        <w:numPr>
          <w:ilvl w:val="0"/>
          <w:numId w:val="3"/>
        </w:numPr>
        <w:ind w:firstLine="600" w:firstLineChars="200"/>
        <w:jc w:val="left"/>
        <w:rPr>
          <w:rFonts w:hint="eastAsia" w:ascii="黑体" w:hAnsi="黑体" w:eastAsia="黑体"/>
          <w:kern w:val="0"/>
          <w:sz w:val="30"/>
          <w:szCs w:val="30"/>
          <w:lang w:eastAsia="zh-CN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预算收</w:t>
      </w:r>
      <w:r>
        <w:rPr>
          <w:rFonts w:ascii="黑体" w:hAnsi="黑体" w:eastAsia="黑体"/>
          <w:kern w:val="0"/>
          <w:sz w:val="30"/>
          <w:szCs w:val="30"/>
        </w:rPr>
        <w:t>支</w:t>
      </w: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增减变化情况说明</w:t>
      </w:r>
    </w:p>
    <w:p>
      <w:pPr>
        <w:widowControl/>
        <w:numPr>
          <w:numId w:val="0"/>
        </w:numPr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bookmarkStart w:id="0" w:name="_GoBack"/>
      <w:bookmarkEnd w:id="0"/>
      <w:r>
        <w:rPr>
          <w:rFonts w:hint="eastAsia" w:eastAsia="仿宋_GB2312"/>
          <w:kern w:val="0"/>
          <w:sz w:val="30"/>
          <w:szCs w:val="30"/>
        </w:rPr>
        <w:t>2018年本级财力安排汤郎乡</w:t>
      </w:r>
      <w:r>
        <w:rPr>
          <w:rFonts w:hint="eastAsia" w:eastAsia="仿宋_GB2312"/>
          <w:kern w:val="0"/>
          <w:sz w:val="30"/>
          <w:szCs w:val="30"/>
          <w:lang w:eastAsia="zh-CN"/>
        </w:rPr>
        <w:t>各部门</w:t>
      </w:r>
      <w:r>
        <w:rPr>
          <w:rFonts w:hint="eastAsia" w:eastAsia="仿宋_GB2312"/>
          <w:kern w:val="0"/>
          <w:sz w:val="30"/>
          <w:szCs w:val="30"/>
        </w:rPr>
        <w:t>基本支出1194.24万元，与上年对比减少84.6万元，减</w:t>
      </w:r>
      <w:r>
        <w:rPr>
          <w:rFonts w:hint="eastAsia" w:eastAsia="仿宋_GB2312"/>
          <w:kern w:val="0"/>
          <w:sz w:val="30"/>
          <w:szCs w:val="30"/>
          <w:lang w:eastAsia="zh-CN"/>
        </w:rPr>
        <w:t>少</w:t>
      </w:r>
      <w:r>
        <w:rPr>
          <w:rFonts w:hint="eastAsia" w:eastAsia="仿宋_GB2312"/>
          <w:kern w:val="0"/>
          <w:sz w:val="30"/>
          <w:szCs w:val="30"/>
        </w:rPr>
        <w:t>变化的原因主要是：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eastAsia="zh-CN"/>
        </w:rPr>
        <w:t>由于</w:t>
      </w:r>
      <w:r>
        <w:rPr>
          <w:rFonts w:hint="eastAsia" w:eastAsia="仿宋_GB2312"/>
          <w:kern w:val="0"/>
          <w:sz w:val="30"/>
          <w:szCs w:val="30"/>
        </w:rPr>
        <w:t>人员调动，</w:t>
      </w:r>
      <w:r>
        <w:rPr>
          <w:rFonts w:hint="eastAsia" w:eastAsia="仿宋_GB2312"/>
          <w:kern w:val="0"/>
          <w:sz w:val="30"/>
          <w:szCs w:val="30"/>
          <w:lang w:eastAsia="zh-CN"/>
        </w:rPr>
        <w:t>上年基本支出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1278.87万元，今年基本支出1194.24万元，共减少支出84.6万元。</w:t>
      </w:r>
    </w:p>
    <w:p>
      <w:pPr>
        <w:widowControl/>
        <w:numPr>
          <w:ilvl w:val="0"/>
          <w:numId w:val="4"/>
        </w:numPr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基本支出减少76万元；</w:t>
      </w:r>
    </w:p>
    <w:p>
      <w:pPr>
        <w:widowControl/>
        <w:numPr>
          <w:ilvl w:val="0"/>
          <w:numId w:val="4"/>
        </w:numPr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公积金支出减少3.52万元；</w:t>
      </w:r>
    </w:p>
    <w:p>
      <w:pPr>
        <w:widowControl/>
        <w:numPr>
          <w:ilvl w:val="0"/>
          <w:numId w:val="4"/>
        </w:numPr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基本养老保险支出减少5.08万元。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b/>
          <w:kern w:val="0"/>
          <w:sz w:val="30"/>
          <w:szCs w:val="30"/>
        </w:rPr>
        <w:t>汤郎乡没有项目支出预算。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  <w:lang w:eastAsia="zh-CN"/>
        </w:rPr>
        <w:t>十一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2018年本级财力安排汤郎乡部门机关运行经费30万元，主要用于办公经费、印刷费、水电费、汽燃费、办公设备购置等日常开支，以保证机构正常运转。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鉴于截至2017年12月31日的国有资产占有使用情况需在完成2017年决算编制后才能统计汇总相关数据，因此，将在公开2017年度部门决算时一并公开部门截至2017年12月31日的国有资产占有使用情况。</w:t>
      </w:r>
    </w:p>
    <w:p>
      <w:pPr>
        <w:rPr>
          <w:sz w:val="30"/>
          <w:szCs w:val="30"/>
        </w:rPr>
      </w:pPr>
    </w:p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8B55C"/>
    <w:multiLevelType w:val="singleLevel"/>
    <w:tmpl w:val="5A98B55C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A98B619"/>
    <w:multiLevelType w:val="singleLevel"/>
    <w:tmpl w:val="5A98B619"/>
    <w:lvl w:ilvl="0" w:tentative="0">
      <w:start w:val="5"/>
      <w:numFmt w:val="decimal"/>
      <w:suff w:val="nothing"/>
      <w:lvlText w:val="%1、"/>
      <w:lvlJc w:val="left"/>
    </w:lvl>
  </w:abstractNum>
  <w:abstractNum w:abstractNumId="2">
    <w:nsid w:val="5A98BECD"/>
    <w:multiLevelType w:val="singleLevel"/>
    <w:tmpl w:val="5A98BECD"/>
    <w:lvl w:ilvl="0" w:tentative="0">
      <w:start w:val="1"/>
      <w:numFmt w:val="chineseCounting"/>
      <w:suff w:val="nothing"/>
      <w:lvlText w:val="（%1）"/>
      <w:lvlJc w:val="left"/>
    </w:lvl>
  </w:abstractNum>
  <w:abstractNum w:abstractNumId="3">
    <w:nsid w:val="5A98BFA7"/>
    <w:multiLevelType w:val="singleLevel"/>
    <w:tmpl w:val="5A98BFA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54"/>
    <w:rsid w:val="00093B41"/>
    <w:rsid w:val="00097272"/>
    <w:rsid w:val="001657B0"/>
    <w:rsid w:val="00165B34"/>
    <w:rsid w:val="0026643D"/>
    <w:rsid w:val="002C1A14"/>
    <w:rsid w:val="002E05AE"/>
    <w:rsid w:val="003C1CE3"/>
    <w:rsid w:val="00567817"/>
    <w:rsid w:val="00587E12"/>
    <w:rsid w:val="005916A7"/>
    <w:rsid w:val="005D37A4"/>
    <w:rsid w:val="00606DEA"/>
    <w:rsid w:val="00622A89"/>
    <w:rsid w:val="00676A81"/>
    <w:rsid w:val="006B26F0"/>
    <w:rsid w:val="00761D60"/>
    <w:rsid w:val="00794354"/>
    <w:rsid w:val="007A5D71"/>
    <w:rsid w:val="00876408"/>
    <w:rsid w:val="008B456B"/>
    <w:rsid w:val="009259E6"/>
    <w:rsid w:val="00960924"/>
    <w:rsid w:val="00995A5E"/>
    <w:rsid w:val="00A13EBA"/>
    <w:rsid w:val="00A82099"/>
    <w:rsid w:val="00B740DD"/>
    <w:rsid w:val="00BB0895"/>
    <w:rsid w:val="00BE7EF7"/>
    <w:rsid w:val="00D001E7"/>
    <w:rsid w:val="00D07122"/>
    <w:rsid w:val="00D1282C"/>
    <w:rsid w:val="00D63DDC"/>
    <w:rsid w:val="00DD7CF9"/>
    <w:rsid w:val="00F67252"/>
    <w:rsid w:val="023E6089"/>
    <w:rsid w:val="026359F9"/>
    <w:rsid w:val="0301581D"/>
    <w:rsid w:val="03AA6204"/>
    <w:rsid w:val="05BD4541"/>
    <w:rsid w:val="0780174F"/>
    <w:rsid w:val="090E4C67"/>
    <w:rsid w:val="09182FD9"/>
    <w:rsid w:val="098775CF"/>
    <w:rsid w:val="0BE26CE4"/>
    <w:rsid w:val="0C1B3668"/>
    <w:rsid w:val="0CFD5700"/>
    <w:rsid w:val="0E4A6121"/>
    <w:rsid w:val="0E6313DE"/>
    <w:rsid w:val="0E6837C9"/>
    <w:rsid w:val="0FCD5F11"/>
    <w:rsid w:val="101679DA"/>
    <w:rsid w:val="129C0E11"/>
    <w:rsid w:val="13D2046C"/>
    <w:rsid w:val="143F1A7F"/>
    <w:rsid w:val="15425AE8"/>
    <w:rsid w:val="1A311529"/>
    <w:rsid w:val="1A632162"/>
    <w:rsid w:val="1B7813E8"/>
    <w:rsid w:val="1B9659BE"/>
    <w:rsid w:val="1BD77EA2"/>
    <w:rsid w:val="1C8B144B"/>
    <w:rsid w:val="1CEE14A6"/>
    <w:rsid w:val="1D402507"/>
    <w:rsid w:val="1DAF3FA7"/>
    <w:rsid w:val="1DF75CC4"/>
    <w:rsid w:val="1FAF3FF7"/>
    <w:rsid w:val="22CE1AB7"/>
    <w:rsid w:val="23A4024F"/>
    <w:rsid w:val="23DC7D2A"/>
    <w:rsid w:val="23E033E6"/>
    <w:rsid w:val="240E6DF6"/>
    <w:rsid w:val="243F795A"/>
    <w:rsid w:val="24842423"/>
    <w:rsid w:val="25B37F60"/>
    <w:rsid w:val="25C33884"/>
    <w:rsid w:val="27C958C9"/>
    <w:rsid w:val="28F6602E"/>
    <w:rsid w:val="2C9204CB"/>
    <w:rsid w:val="2C9C3991"/>
    <w:rsid w:val="2CDE6F11"/>
    <w:rsid w:val="2D623395"/>
    <w:rsid w:val="2E5B4AA0"/>
    <w:rsid w:val="2E710A84"/>
    <w:rsid w:val="2EA700C8"/>
    <w:rsid w:val="2F612233"/>
    <w:rsid w:val="30E27A5A"/>
    <w:rsid w:val="32C3052F"/>
    <w:rsid w:val="33B91EE2"/>
    <w:rsid w:val="342401FA"/>
    <w:rsid w:val="35EE7800"/>
    <w:rsid w:val="366B1348"/>
    <w:rsid w:val="37204C1C"/>
    <w:rsid w:val="38B207BE"/>
    <w:rsid w:val="3903616E"/>
    <w:rsid w:val="39974FC0"/>
    <w:rsid w:val="3C5842BD"/>
    <w:rsid w:val="3CD95FB8"/>
    <w:rsid w:val="3CE5278B"/>
    <w:rsid w:val="3D0015C1"/>
    <w:rsid w:val="3E682363"/>
    <w:rsid w:val="40B445CA"/>
    <w:rsid w:val="415373A0"/>
    <w:rsid w:val="42A27D7D"/>
    <w:rsid w:val="433A3523"/>
    <w:rsid w:val="45703043"/>
    <w:rsid w:val="474B60CA"/>
    <w:rsid w:val="476863E5"/>
    <w:rsid w:val="4937463C"/>
    <w:rsid w:val="49A26745"/>
    <w:rsid w:val="49FD46F9"/>
    <w:rsid w:val="4BE935EB"/>
    <w:rsid w:val="4BFF2408"/>
    <w:rsid w:val="4D0B5BBC"/>
    <w:rsid w:val="4D9B20FC"/>
    <w:rsid w:val="4F6C69D5"/>
    <w:rsid w:val="4F7B38F8"/>
    <w:rsid w:val="4FC5703A"/>
    <w:rsid w:val="50264DF5"/>
    <w:rsid w:val="50EC2ED6"/>
    <w:rsid w:val="51761956"/>
    <w:rsid w:val="51DD583D"/>
    <w:rsid w:val="5417388F"/>
    <w:rsid w:val="54A96497"/>
    <w:rsid w:val="54CF725D"/>
    <w:rsid w:val="55D76A85"/>
    <w:rsid w:val="55E7604E"/>
    <w:rsid w:val="56612DB7"/>
    <w:rsid w:val="56775E3C"/>
    <w:rsid w:val="582A6082"/>
    <w:rsid w:val="58DB213A"/>
    <w:rsid w:val="58EA0606"/>
    <w:rsid w:val="58F75183"/>
    <w:rsid w:val="5C2723A3"/>
    <w:rsid w:val="5E8A0155"/>
    <w:rsid w:val="5F5D634C"/>
    <w:rsid w:val="61F73ED7"/>
    <w:rsid w:val="62143CA1"/>
    <w:rsid w:val="63385CDD"/>
    <w:rsid w:val="67CE1226"/>
    <w:rsid w:val="689F50C9"/>
    <w:rsid w:val="6A176D3F"/>
    <w:rsid w:val="6A3F0BB6"/>
    <w:rsid w:val="6C6A23FF"/>
    <w:rsid w:val="6D1F5636"/>
    <w:rsid w:val="6DF72323"/>
    <w:rsid w:val="6E763A50"/>
    <w:rsid w:val="6EE27775"/>
    <w:rsid w:val="6F6B75B8"/>
    <w:rsid w:val="70E008C1"/>
    <w:rsid w:val="70E56241"/>
    <w:rsid w:val="71A4039D"/>
    <w:rsid w:val="723C3AF0"/>
    <w:rsid w:val="72B83045"/>
    <w:rsid w:val="751E1848"/>
    <w:rsid w:val="76B665CB"/>
    <w:rsid w:val="77E46820"/>
    <w:rsid w:val="788C297D"/>
    <w:rsid w:val="78E062AA"/>
    <w:rsid w:val="79CE321C"/>
    <w:rsid w:val="7A01344C"/>
    <w:rsid w:val="7CA80F31"/>
    <w:rsid w:val="7CE765B0"/>
    <w:rsid w:val="7DB86647"/>
    <w:rsid w:val="7F3952B1"/>
    <w:rsid w:val="7F6B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410</Words>
  <Characters>2339</Characters>
  <Lines>19</Lines>
  <Paragraphs>5</Paragraphs>
  <ScaleCrop>false</ScaleCrop>
  <LinksUpToDate>false</LinksUpToDate>
  <CharactersWithSpaces>2744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lenovo</cp:lastModifiedBy>
  <dcterms:modified xsi:type="dcterms:W3CDTF">2018-03-02T02:54:36Z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