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tabs>
          <w:tab w:val="right" w:leader="dot" w:pos="8312"/>
        </w:tabs>
        <w:jc w:val="center"/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44"/>
          <w:szCs w:val="44"/>
          <w:lang w:eastAsia="zh-CN"/>
        </w:rPr>
        <w:t>目录</w:t>
      </w:r>
    </w:p>
    <w:p>
      <w:pPr>
        <w:pStyle w:val="5"/>
        <w:tabs>
          <w:tab w:val="right" w:leader="dot" w:pos="8312"/>
        </w:tabs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28"/>
          <w:szCs w:val="28"/>
          <w:lang w:eastAsia="zh-CN"/>
        </w:rPr>
        <w:fldChar w:fldCharType="begin"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28"/>
          <w:szCs w:val="28"/>
          <w:lang w:eastAsia="zh-CN"/>
        </w:rPr>
        <w:instrText xml:space="preserve">TOC \o "1-3" \h \u </w:instrTex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28"/>
          <w:szCs w:val="28"/>
          <w:lang w:eastAsia="zh-CN"/>
        </w:rPr>
        <w:fldChar w:fldCharType="separate"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28"/>
          <w:szCs w:val="28"/>
          <w:lang w:eastAsia="zh-CN"/>
        </w:rPr>
        <w:fldChar w:fldCharType="begin"/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instrText xml:space="preserve"> HYPERLINK \l _Toc24061 </w:instrTex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fldChar w:fldCharType="separate"/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一、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基本职能及主要工作</w:t>
      </w:r>
      <w:r>
        <w:rPr>
          <w:rFonts w:hint="eastAsia" w:ascii="仿宋_GB2312" w:hAnsi="仿宋_GB2312" w:eastAsia="仿宋_GB2312" w:cs="仿宋_GB2312"/>
          <w:sz w:val="28"/>
          <w:szCs w:val="28"/>
        </w:rPr>
        <w:tab/>
      </w:r>
      <w:r>
        <w:rPr>
          <w:rFonts w:hint="eastAsia" w:ascii="仿宋_GB2312" w:hAnsi="仿宋_GB2312" w:eastAsia="仿宋_GB2312" w:cs="仿宋_GB2312"/>
          <w:sz w:val="28"/>
          <w:szCs w:val="28"/>
        </w:rPr>
        <w:fldChar w:fldCharType="begin"/>
      </w:r>
      <w:r>
        <w:rPr>
          <w:rFonts w:hint="eastAsia" w:ascii="仿宋_GB2312" w:hAnsi="仿宋_GB2312" w:eastAsia="仿宋_GB2312" w:cs="仿宋_GB2312"/>
          <w:sz w:val="28"/>
          <w:szCs w:val="28"/>
        </w:rPr>
        <w:instrText xml:space="preserve"> PAGEREF _Toc24061 </w:instrText>
      </w:r>
      <w:r>
        <w:rPr>
          <w:rFonts w:hint="eastAsia" w:ascii="仿宋_GB2312" w:hAnsi="仿宋_GB2312" w:eastAsia="仿宋_GB2312" w:cs="仿宋_GB2312"/>
          <w:sz w:val="28"/>
          <w:szCs w:val="28"/>
        </w:rPr>
        <w:fldChar w:fldCharType="separate"/>
      </w:r>
      <w:r>
        <w:rPr>
          <w:rFonts w:hint="eastAsia" w:ascii="仿宋_GB2312" w:hAnsi="仿宋_GB2312" w:eastAsia="仿宋_GB2312" w:cs="仿宋_GB2312"/>
          <w:sz w:val="28"/>
          <w:szCs w:val="28"/>
        </w:rPr>
        <w:t>1</w:t>
      </w:r>
      <w:r>
        <w:rPr>
          <w:rFonts w:hint="eastAsia" w:ascii="仿宋_GB2312" w:hAnsi="仿宋_GB2312" w:eastAsia="仿宋_GB2312" w:cs="仿宋_GB2312"/>
          <w:sz w:val="28"/>
          <w:szCs w:val="28"/>
        </w:rPr>
        <w:fldChar w:fldCharType="end"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28"/>
          <w:szCs w:val="28"/>
          <w:lang w:eastAsia="zh-CN"/>
        </w:rPr>
        <w:fldChar w:fldCharType="end"/>
      </w:r>
    </w:p>
    <w:p>
      <w:pPr>
        <w:pStyle w:val="5"/>
        <w:tabs>
          <w:tab w:val="right" w:leader="dot" w:pos="8312"/>
        </w:tabs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28"/>
          <w:szCs w:val="28"/>
          <w:lang w:eastAsia="zh-CN"/>
        </w:rPr>
        <w:fldChar w:fldCharType="begin"/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instrText xml:space="preserve"> HYPERLINK \l _Toc22802 </w:instrTex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fldChar w:fldCharType="separate"/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二、预算单位基本情况</w:t>
      </w:r>
      <w:r>
        <w:rPr>
          <w:rFonts w:hint="eastAsia" w:ascii="仿宋_GB2312" w:hAnsi="仿宋_GB2312" w:eastAsia="仿宋_GB2312" w:cs="仿宋_GB2312"/>
          <w:sz w:val="28"/>
          <w:szCs w:val="28"/>
        </w:rPr>
        <w:tab/>
      </w:r>
      <w:r>
        <w:rPr>
          <w:rFonts w:hint="eastAsia" w:ascii="仿宋_GB2312" w:hAnsi="仿宋_GB2312" w:eastAsia="仿宋_GB2312" w:cs="仿宋_GB2312"/>
          <w:sz w:val="28"/>
          <w:szCs w:val="28"/>
        </w:rPr>
        <w:fldChar w:fldCharType="begin"/>
      </w:r>
      <w:r>
        <w:rPr>
          <w:rFonts w:hint="eastAsia" w:ascii="仿宋_GB2312" w:hAnsi="仿宋_GB2312" w:eastAsia="仿宋_GB2312" w:cs="仿宋_GB2312"/>
          <w:sz w:val="28"/>
          <w:szCs w:val="28"/>
        </w:rPr>
        <w:instrText xml:space="preserve"> PAGEREF _Toc22802 </w:instrText>
      </w:r>
      <w:r>
        <w:rPr>
          <w:rFonts w:hint="eastAsia" w:ascii="仿宋_GB2312" w:hAnsi="仿宋_GB2312" w:eastAsia="仿宋_GB2312" w:cs="仿宋_GB2312"/>
          <w:sz w:val="28"/>
          <w:szCs w:val="28"/>
        </w:rPr>
        <w:fldChar w:fldCharType="separate"/>
      </w:r>
      <w:r>
        <w:rPr>
          <w:rFonts w:hint="eastAsia" w:ascii="仿宋_GB2312" w:hAnsi="仿宋_GB2312" w:eastAsia="仿宋_GB2312" w:cs="仿宋_GB2312"/>
          <w:sz w:val="28"/>
          <w:szCs w:val="28"/>
        </w:rPr>
        <w:t>2</w:t>
      </w:r>
      <w:r>
        <w:rPr>
          <w:rFonts w:hint="eastAsia" w:ascii="仿宋_GB2312" w:hAnsi="仿宋_GB2312" w:eastAsia="仿宋_GB2312" w:cs="仿宋_GB2312"/>
          <w:sz w:val="28"/>
          <w:szCs w:val="28"/>
        </w:rPr>
        <w:fldChar w:fldCharType="end"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28"/>
          <w:szCs w:val="28"/>
          <w:lang w:eastAsia="zh-CN"/>
        </w:rPr>
        <w:fldChar w:fldCharType="end"/>
      </w:r>
    </w:p>
    <w:p>
      <w:pPr>
        <w:pStyle w:val="5"/>
        <w:tabs>
          <w:tab w:val="right" w:leader="dot" w:pos="8312"/>
        </w:tabs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28"/>
          <w:szCs w:val="28"/>
          <w:lang w:eastAsia="zh-CN"/>
        </w:rPr>
        <w:fldChar w:fldCharType="begin"/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instrText xml:space="preserve"> HYPERLINK \l _Toc2912 </w:instrTex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fldChar w:fldCharType="separate"/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三、预算单位收入情况</w:t>
      </w:r>
      <w:r>
        <w:rPr>
          <w:rFonts w:hint="eastAsia" w:ascii="仿宋_GB2312" w:hAnsi="仿宋_GB2312" w:eastAsia="仿宋_GB2312" w:cs="仿宋_GB2312"/>
          <w:sz w:val="28"/>
          <w:szCs w:val="28"/>
        </w:rPr>
        <w:tab/>
      </w:r>
      <w:r>
        <w:rPr>
          <w:rFonts w:hint="eastAsia" w:ascii="仿宋_GB2312" w:hAnsi="仿宋_GB2312" w:eastAsia="仿宋_GB2312" w:cs="仿宋_GB2312"/>
          <w:sz w:val="28"/>
          <w:szCs w:val="28"/>
        </w:rPr>
        <w:fldChar w:fldCharType="begin"/>
      </w:r>
      <w:r>
        <w:rPr>
          <w:rFonts w:hint="eastAsia" w:ascii="仿宋_GB2312" w:hAnsi="仿宋_GB2312" w:eastAsia="仿宋_GB2312" w:cs="仿宋_GB2312"/>
          <w:sz w:val="28"/>
          <w:szCs w:val="28"/>
        </w:rPr>
        <w:instrText xml:space="preserve"> PAGEREF _Toc2912 </w:instrText>
      </w:r>
      <w:r>
        <w:rPr>
          <w:rFonts w:hint="eastAsia" w:ascii="仿宋_GB2312" w:hAnsi="仿宋_GB2312" w:eastAsia="仿宋_GB2312" w:cs="仿宋_GB2312"/>
          <w:sz w:val="28"/>
          <w:szCs w:val="28"/>
        </w:rPr>
        <w:fldChar w:fldCharType="separate"/>
      </w:r>
      <w:r>
        <w:rPr>
          <w:rFonts w:hint="eastAsia" w:ascii="仿宋_GB2312" w:hAnsi="仿宋_GB2312" w:eastAsia="仿宋_GB2312" w:cs="仿宋_GB2312"/>
          <w:sz w:val="28"/>
          <w:szCs w:val="28"/>
        </w:rPr>
        <w:t>3</w:t>
      </w:r>
      <w:r>
        <w:rPr>
          <w:rFonts w:hint="eastAsia" w:ascii="仿宋_GB2312" w:hAnsi="仿宋_GB2312" w:eastAsia="仿宋_GB2312" w:cs="仿宋_GB2312"/>
          <w:sz w:val="28"/>
          <w:szCs w:val="28"/>
        </w:rPr>
        <w:fldChar w:fldCharType="end"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28"/>
          <w:szCs w:val="28"/>
          <w:lang w:eastAsia="zh-CN"/>
        </w:rPr>
        <w:fldChar w:fldCharType="end"/>
      </w:r>
    </w:p>
    <w:p>
      <w:pPr>
        <w:pStyle w:val="5"/>
        <w:tabs>
          <w:tab w:val="right" w:leader="dot" w:pos="8312"/>
        </w:tabs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28"/>
          <w:szCs w:val="28"/>
          <w:lang w:eastAsia="zh-CN"/>
        </w:rPr>
        <w:fldChar w:fldCharType="begin"/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instrText xml:space="preserve"> HYPERLINK \l _Toc2936 </w:instrTex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fldChar w:fldCharType="separate"/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四、预算单位支出情况</w:t>
      </w:r>
      <w:r>
        <w:rPr>
          <w:rFonts w:hint="eastAsia" w:ascii="仿宋_GB2312" w:hAnsi="仿宋_GB2312" w:eastAsia="仿宋_GB2312" w:cs="仿宋_GB2312"/>
          <w:sz w:val="28"/>
          <w:szCs w:val="28"/>
        </w:rPr>
        <w:tab/>
      </w:r>
      <w:r>
        <w:rPr>
          <w:rFonts w:hint="eastAsia" w:ascii="仿宋_GB2312" w:hAnsi="仿宋_GB2312" w:eastAsia="仿宋_GB2312" w:cs="仿宋_GB2312"/>
          <w:sz w:val="28"/>
          <w:szCs w:val="28"/>
        </w:rPr>
        <w:fldChar w:fldCharType="begin"/>
      </w:r>
      <w:r>
        <w:rPr>
          <w:rFonts w:hint="eastAsia" w:ascii="仿宋_GB2312" w:hAnsi="仿宋_GB2312" w:eastAsia="仿宋_GB2312" w:cs="仿宋_GB2312"/>
          <w:sz w:val="28"/>
          <w:szCs w:val="28"/>
        </w:rPr>
        <w:instrText xml:space="preserve"> PAGEREF _Toc2936 </w:instrText>
      </w:r>
      <w:r>
        <w:rPr>
          <w:rFonts w:hint="eastAsia" w:ascii="仿宋_GB2312" w:hAnsi="仿宋_GB2312" w:eastAsia="仿宋_GB2312" w:cs="仿宋_GB2312"/>
          <w:sz w:val="28"/>
          <w:szCs w:val="28"/>
        </w:rPr>
        <w:fldChar w:fldCharType="separate"/>
      </w:r>
      <w:r>
        <w:rPr>
          <w:rFonts w:hint="eastAsia" w:ascii="仿宋_GB2312" w:hAnsi="仿宋_GB2312" w:eastAsia="仿宋_GB2312" w:cs="仿宋_GB2312"/>
          <w:sz w:val="28"/>
          <w:szCs w:val="28"/>
        </w:rPr>
        <w:t>3</w:t>
      </w:r>
      <w:r>
        <w:rPr>
          <w:rFonts w:hint="eastAsia" w:ascii="仿宋_GB2312" w:hAnsi="仿宋_GB2312" w:eastAsia="仿宋_GB2312" w:cs="仿宋_GB2312"/>
          <w:sz w:val="28"/>
          <w:szCs w:val="28"/>
        </w:rPr>
        <w:fldChar w:fldCharType="end"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28"/>
          <w:szCs w:val="28"/>
          <w:lang w:eastAsia="zh-CN"/>
        </w:rPr>
        <w:fldChar w:fldCharType="end"/>
      </w:r>
    </w:p>
    <w:p>
      <w:pPr>
        <w:pStyle w:val="5"/>
        <w:tabs>
          <w:tab w:val="right" w:leader="dot" w:pos="8312"/>
        </w:tabs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28"/>
          <w:szCs w:val="28"/>
          <w:lang w:eastAsia="zh-CN"/>
        </w:rPr>
        <w:fldChar w:fldCharType="begin"/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instrText xml:space="preserve"> HYPERLINK \l _Toc10006 </w:instrTex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fldChar w:fldCharType="separate"/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五、市对下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专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项转移支付情况</w:t>
      </w:r>
      <w:r>
        <w:rPr>
          <w:rFonts w:hint="eastAsia" w:ascii="仿宋_GB2312" w:hAnsi="仿宋_GB2312" w:eastAsia="仿宋_GB2312" w:cs="仿宋_GB2312"/>
          <w:sz w:val="28"/>
          <w:szCs w:val="28"/>
        </w:rPr>
        <w:tab/>
      </w:r>
      <w:r>
        <w:rPr>
          <w:rFonts w:hint="eastAsia" w:ascii="仿宋_GB2312" w:hAnsi="仿宋_GB2312" w:eastAsia="仿宋_GB2312" w:cs="仿宋_GB2312"/>
          <w:sz w:val="28"/>
          <w:szCs w:val="28"/>
        </w:rPr>
        <w:fldChar w:fldCharType="begin"/>
      </w:r>
      <w:r>
        <w:rPr>
          <w:rFonts w:hint="eastAsia" w:ascii="仿宋_GB2312" w:hAnsi="仿宋_GB2312" w:eastAsia="仿宋_GB2312" w:cs="仿宋_GB2312"/>
          <w:sz w:val="28"/>
          <w:szCs w:val="28"/>
        </w:rPr>
        <w:instrText xml:space="preserve"> PAGEREF _Toc10006 </w:instrText>
      </w:r>
      <w:r>
        <w:rPr>
          <w:rFonts w:hint="eastAsia" w:ascii="仿宋_GB2312" w:hAnsi="仿宋_GB2312" w:eastAsia="仿宋_GB2312" w:cs="仿宋_GB2312"/>
          <w:sz w:val="28"/>
          <w:szCs w:val="28"/>
        </w:rPr>
        <w:fldChar w:fldCharType="separate"/>
      </w:r>
      <w:r>
        <w:rPr>
          <w:rFonts w:hint="eastAsia" w:ascii="仿宋_GB2312" w:hAnsi="仿宋_GB2312" w:eastAsia="仿宋_GB2312" w:cs="仿宋_GB2312"/>
          <w:sz w:val="28"/>
          <w:szCs w:val="28"/>
        </w:rPr>
        <w:t>4</w:t>
      </w:r>
      <w:r>
        <w:rPr>
          <w:rFonts w:hint="eastAsia" w:ascii="仿宋_GB2312" w:hAnsi="仿宋_GB2312" w:eastAsia="仿宋_GB2312" w:cs="仿宋_GB2312"/>
          <w:sz w:val="28"/>
          <w:szCs w:val="28"/>
        </w:rPr>
        <w:fldChar w:fldCharType="end"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28"/>
          <w:szCs w:val="28"/>
          <w:lang w:eastAsia="zh-CN"/>
        </w:rPr>
        <w:fldChar w:fldCharType="end"/>
      </w:r>
    </w:p>
    <w:p>
      <w:pPr>
        <w:pStyle w:val="5"/>
        <w:tabs>
          <w:tab w:val="right" w:leader="dot" w:pos="8312"/>
        </w:tabs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28"/>
          <w:szCs w:val="28"/>
          <w:lang w:eastAsia="zh-CN"/>
        </w:rPr>
        <w:fldChar w:fldCharType="begin"/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instrText xml:space="preserve"> HYPERLINK \l _Toc7611 </w:instrTex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fldChar w:fldCharType="separate"/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六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、政府采购预算情况</w:t>
      </w:r>
      <w:r>
        <w:rPr>
          <w:rFonts w:hint="eastAsia" w:ascii="仿宋_GB2312" w:hAnsi="仿宋_GB2312" w:eastAsia="仿宋_GB2312" w:cs="仿宋_GB2312"/>
          <w:sz w:val="28"/>
          <w:szCs w:val="28"/>
        </w:rPr>
        <w:tab/>
      </w:r>
      <w:r>
        <w:rPr>
          <w:rFonts w:hint="eastAsia" w:ascii="仿宋_GB2312" w:hAnsi="仿宋_GB2312" w:eastAsia="仿宋_GB2312" w:cs="仿宋_GB2312"/>
          <w:sz w:val="28"/>
          <w:szCs w:val="28"/>
        </w:rPr>
        <w:fldChar w:fldCharType="begin"/>
      </w:r>
      <w:r>
        <w:rPr>
          <w:rFonts w:hint="eastAsia" w:ascii="仿宋_GB2312" w:hAnsi="仿宋_GB2312" w:eastAsia="仿宋_GB2312" w:cs="仿宋_GB2312"/>
          <w:sz w:val="28"/>
          <w:szCs w:val="28"/>
        </w:rPr>
        <w:instrText xml:space="preserve"> PAGEREF _Toc7611 </w:instrText>
      </w:r>
      <w:r>
        <w:rPr>
          <w:rFonts w:hint="eastAsia" w:ascii="仿宋_GB2312" w:hAnsi="仿宋_GB2312" w:eastAsia="仿宋_GB2312" w:cs="仿宋_GB2312"/>
          <w:sz w:val="28"/>
          <w:szCs w:val="28"/>
        </w:rPr>
        <w:fldChar w:fldCharType="separate"/>
      </w:r>
      <w:r>
        <w:rPr>
          <w:rFonts w:hint="eastAsia" w:ascii="仿宋_GB2312" w:hAnsi="仿宋_GB2312" w:eastAsia="仿宋_GB2312" w:cs="仿宋_GB2312"/>
          <w:sz w:val="28"/>
          <w:szCs w:val="28"/>
        </w:rPr>
        <w:t>4</w:t>
      </w:r>
      <w:r>
        <w:rPr>
          <w:rFonts w:hint="eastAsia" w:ascii="仿宋_GB2312" w:hAnsi="仿宋_GB2312" w:eastAsia="仿宋_GB2312" w:cs="仿宋_GB2312"/>
          <w:sz w:val="28"/>
          <w:szCs w:val="28"/>
        </w:rPr>
        <w:fldChar w:fldCharType="end"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28"/>
          <w:szCs w:val="28"/>
          <w:lang w:eastAsia="zh-CN"/>
        </w:rPr>
        <w:fldChar w:fldCharType="end"/>
      </w:r>
    </w:p>
    <w:p>
      <w:pPr>
        <w:pStyle w:val="5"/>
        <w:tabs>
          <w:tab w:val="right" w:leader="dot" w:pos="8312"/>
        </w:tabs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28"/>
          <w:szCs w:val="28"/>
          <w:lang w:eastAsia="zh-CN"/>
        </w:rPr>
        <w:fldChar w:fldCharType="begin"/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instrText xml:space="preserve"> HYPERLINK \l _Toc17855 </w:instrTex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fldChar w:fldCharType="separate"/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七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、预算收支增减变化情况说明</w:t>
      </w:r>
      <w:r>
        <w:rPr>
          <w:rFonts w:hint="eastAsia" w:ascii="仿宋_GB2312" w:hAnsi="仿宋_GB2312" w:eastAsia="仿宋_GB2312" w:cs="仿宋_GB2312"/>
          <w:sz w:val="28"/>
          <w:szCs w:val="28"/>
        </w:rPr>
        <w:tab/>
      </w:r>
      <w:r>
        <w:rPr>
          <w:rFonts w:hint="eastAsia" w:ascii="仿宋_GB2312" w:hAnsi="仿宋_GB2312" w:eastAsia="仿宋_GB2312" w:cs="仿宋_GB2312"/>
          <w:sz w:val="28"/>
          <w:szCs w:val="28"/>
        </w:rPr>
        <w:fldChar w:fldCharType="begin"/>
      </w:r>
      <w:r>
        <w:rPr>
          <w:rFonts w:hint="eastAsia" w:ascii="仿宋_GB2312" w:hAnsi="仿宋_GB2312" w:eastAsia="仿宋_GB2312" w:cs="仿宋_GB2312"/>
          <w:sz w:val="28"/>
          <w:szCs w:val="28"/>
        </w:rPr>
        <w:instrText xml:space="preserve"> PAGEREF _Toc17855 </w:instrText>
      </w:r>
      <w:r>
        <w:rPr>
          <w:rFonts w:hint="eastAsia" w:ascii="仿宋_GB2312" w:hAnsi="仿宋_GB2312" w:eastAsia="仿宋_GB2312" w:cs="仿宋_GB2312"/>
          <w:sz w:val="28"/>
          <w:szCs w:val="28"/>
        </w:rPr>
        <w:fldChar w:fldCharType="separate"/>
      </w:r>
      <w:r>
        <w:rPr>
          <w:rFonts w:hint="eastAsia" w:ascii="仿宋_GB2312" w:hAnsi="仿宋_GB2312" w:eastAsia="仿宋_GB2312" w:cs="仿宋_GB2312"/>
          <w:sz w:val="28"/>
          <w:szCs w:val="28"/>
        </w:rPr>
        <w:t>4</w:t>
      </w:r>
      <w:r>
        <w:rPr>
          <w:rFonts w:hint="eastAsia" w:ascii="仿宋_GB2312" w:hAnsi="仿宋_GB2312" w:eastAsia="仿宋_GB2312" w:cs="仿宋_GB2312"/>
          <w:sz w:val="28"/>
          <w:szCs w:val="28"/>
        </w:rPr>
        <w:fldChar w:fldCharType="end"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28"/>
          <w:szCs w:val="28"/>
          <w:lang w:eastAsia="zh-CN"/>
        </w:rPr>
        <w:fldChar w:fldCharType="end"/>
      </w:r>
    </w:p>
    <w:p>
      <w:pPr>
        <w:pStyle w:val="5"/>
        <w:tabs>
          <w:tab w:val="right" w:leader="dot" w:pos="8312"/>
        </w:tabs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28"/>
          <w:szCs w:val="28"/>
          <w:lang w:eastAsia="zh-CN"/>
        </w:rPr>
        <w:fldChar w:fldCharType="begin"/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instrText xml:space="preserve"> HYPERLINK \l _Toc12429 </w:instrTex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fldChar w:fldCharType="separate"/>
      </w:r>
      <w:r>
        <w:rPr>
          <w:rFonts w:hint="eastAsia" w:ascii="仿宋_GB2312" w:hAnsi="仿宋_GB2312" w:eastAsia="仿宋_GB2312" w:cs="仿宋_GB2312"/>
          <w:bCs w:val="0"/>
          <w:kern w:val="0"/>
          <w:sz w:val="28"/>
          <w:szCs w:val="28"/>
        </w:rPr>
        <w:t>八、其他公开信息</w:t>
      </w:r>
      <w:r>
        <w:rPr>
          <w:rFonts w:hint="eastAsia" w:ascii="仿宋_GB2312" w:hAnsi="仿宋_GB2312" w:eastAsia="仿宋_GB2312" w:cs="仿宋_GB2312"/>
          <w:sz w:val="28"/>
          <w:szCs w:val="28"/>
        </w:rPr>
        <w:tab/>
      </w:r>
      <w:r>
        <w:rPr>
          <w:rFonts w:hint="eastAsia" w:ascii="仿宋_GB2312" w:hAnsi="仿宋_GB2312" w:eastAsia="仿宋_GB2312" w:cs="仿宋_GB2312"/>
          <w:sz w:val="28"/>
          <w:szCs w:val="28"/>
        </w:rPr>
        <w:fldChar w:fldCharType="begin"/>
      </w:r>
      <w:r>
        <w:rPr>
          <w:rFonts w:hint="eastAsia" w:ascii="仿宋_GB2312" w:hAnsi="仿宋_GB2312" w:eastAsia="仿宋_GB2312" w:cs="仿宋_GB2312"/>
          <w:sz w:val="28"/>
          <w:szCs w:val="28"/>
        </w:rPr>
        <w:instrText xml:space="preserve"> PAGEREF _Toc12429 </w:instrText>
      </w:r>
      <w:r>
        <w:rPr>
          <w:rFonts w:hint="eastAsia" w:ascii="仿宋_GB2312" w:hAnsi="仿宋_GB2312" w:eastAsia="仿宋_GB2312" w:cs="仿宋_GB2312"/>
          <w:sz w:val="28"/>
          <w:szCs w:val="28"/>
        </w:rPr>
        <w:fldChar w:fldCharType="separate"/>
      </w:r>
      <w:r>
        <w:rPr>
          <w:rFonts w:hint="eastAsia" w:ascii="仿宋_GB2312" w:hAnsi="仿宋_GB2312" w:eastAsia="仿宋_GB2312" w:cs="仿宋_GB2312"/>
          <w:sz w:val="28"/>
          <w:szCs w:val="28"/>
        </w:rPr>
        <w:t>5</w:t>
      </w:r>
      <w:r>
        <w:rPr>
          <w:rFonts w:hint="eastAsia" w:ascii="仿宋_GB2312" w:hAnsi="仿宋_GB2312" w:eastAsia="仿宋_GB2312" w:cs="仿宋_GB2312"/>
          <w:sz w:val="28"/>
          <w:szCs w:val="28"/>
        </w:rPr>
        <w:fldChar w:fldCharType="end"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28"/>
          <w:szCs w:val="28"/>
          <w:lang w:eastAsia="zh-CN"/>
        </w:rPr>
        <w:fldChar w:fldCharType="end"/>
      </w:r>
    </w:p>
    <w:p>
      <w:pPr>
        <w:pStyle w:val="6"/>
        <w:tabs>
          <w:tab w:val="right" w:leader="dot" w:pos="8312"/>
        </w:tabs>
        <w:rPr>
          <w:rFonts w:hint="eastAsia" w:ascii="仿宋_GB2312" w:hAnsi="仿宋_GB2312" w:eastAsia="仿宋_GB2312" w:cs="仿宋_GB2312"/>
          <w:sz w:val="28"/>
          <w:szCs w:val="28"/>
        </w:rPr>
      </w:pPr>
      <w:bookmarkStart w:id="29" w:name="_GoBack"/>
      <w:r>
        <w:rPr>
          <w:rFonts w:hint="eastAsia" w:ascii="楷体_GB2312" w:hAnsi="楷体_GB2312" w:eastAsia="楷体_GB2312" w:cs="楷体_GB2312"/>
          <w:color w:val="000000" w:themeColor="text1"/>
          <w:kern w:val="0"/>
          <w:sz w:val="28"/>
          <w:szCs w:val="28"/>
          <w:lang w:eastAsia="zh-CN"/>
        </w:rPr>
        <w:fldChar w:fldCharType="begin"/>
      </w:r>
      <w:r>
        <w:rPr>
          <w:rFonts w:hint="eastAsia" w:ascii="楷体_GB2312" w:hAnsi="楷体_GB2312" w:eastAsia="楷体_GB2312" w:cs="楷体_GB2312"/>
          <w:kern w:val="0"/>
          <w:sz w:val="28"/>
          <w:szCs w:val="28"/>
          <w:lang w:eastAsia="zh-CN"/>
        </w:rPr>
        <w:instrText xml:space="preserve"> HYPERLINK \l _Toc29572 </w:instrText>
      </w:r>
      <w:r>
        <w:rPr>
          <w:rFonts w:hint="eastAsia" w:ascii="楷体_GB2312" w:hAnsi="楷体_GB2312" w:eastAsia="楷体_GB2312" w:cs="楷体_GB2312"/>
          <w:kern w:val="0"/>
          <w:sz w:val="28"/>
          <w:szCs w:val="28"/>
          <w:lang w:eastAsia="zh-CN"/>
        </w:rPr>
        <w:fldChar w:fldCharType="separate"/>
      </w:r>
      <w:r>
        <w:rPr>
          <w:rFonts w:hint="eastAsia" w:ascii="楷体_GB2312" w:hAnsi="楷体_GB2312" w:eastAsia="楷体_GB2312" w:cs="楷体_GB2312"/>
          <w:kern w:val="0"/>
          <w:sz w:val="28"/>
          <w:szCs w:val="28"/>
        </w:rPr>
        <w:t>（一）专业名词解释</w:t>
      </w:r>
      <w:r>
        <w:rPr>
          <w:rFonts w:hint="eastAsia" w:ascii="楷体_GB2312" w:hAnsi="楷体_GB2312" w:eastAsia="楷体_GB2312" w:cs="楷体_GB2312"/>
          <w:sz w:val="28"/>
          <w:szCs w:val="28"/>
        </w:rPr>
        <w:tab/>
      </w:r>
      <w:r>
        <w:rPr>
          <w:rFonts w:hint="eastAsia" w:ascii="楷体_GB2312" w:hAnsi="楷体_GB2312" w:eastAsia="楷体_GB2312" w:cs="楷体_GB2312"/>
          <w:sz w:val="28"/>
          <w:szCs w:val="28"/>
        </w:rPr>
        <w:fldChar w:fldCharType="begin"/>
      </w:r>
      <w:r>
        <w:rPr>
          <w:rFonts w:hint="eastAsia" w:ascii="楷体_GB2312" w:hAnsi="楷体_GB2312" w:eastAsia="楷体_GB2312" w:cs="楷体_GB2312"/>
          <w:sz w:val="28"/>
          <w:szCs w:val="28"/>
        </w:rPr>
        <w:instrText xml:space="preserve"> PAGEREF _Toc29572 </w:instrText>
      </w:r>
      <w:r>
        <w:rPr>
          <w:rFonts w:hint="eastAsia" w:ascii="楷体_GB2312" w:hAnsi="楷体_GB2312" w:eastAsia="楷体_GB2312" w:cs="楷体_GB2312"/>
          <w:sz w:val="28"/>
          <w:szCs w:val="28"/>
        </w:rPr>
        <w:fldChar w:fldCharType="separate"/>
      </w:r>
      <w:r>
        <w:rPr>
          <w:rFonts w:hint="eastAsia" w:ascii="楷体_GB2312" w:hAnsi="楷体_GB2312" w:eastAsia="楷体_GB2312" w:cs="楷体_GB2312"/>
          <w:sz w:val="28"/>
          <w:szCs w:val="28"/>
        </w:rPr>
        <w:t>5</w:t>
      </w:r>
      <w:r>
        <w:rPr>
          <w:rFonts w:hint="eastAsia" w:ascii="楷体_GB2312" w:hAnsi="楷体_GB2312" w:eastAsia="楷体_GB2312" w:cs="楷体_GB2312"/>
          <w:sz w:val="28"/>
          <w:szCs w:val="28"/>
        </w:rPr>
        <w:fldChar w:fldCharType="end"/>
      </w:r>
      <w:r>
        <w:rPr>
          <w:rFonts w:hint="eastAsia" w:ascii="楷体_GB2312" w:hAnsi="楷体_GB2312" w:eastAsia="楷体_GB2312" w:cs="楷体_GB2312"/>
          <w:color w:val="000000" w:themeColor="text1"/>
          <w:kern w:val="0"/>
          <w:sz w:val="28"/>
          <w:szCs w:val="28"/>
          <w:lang w:eastAsia="zh-CN"/>
        </w:rPr>
        <w:fldChar w:fldCharType="end"/>
      </w:r>
      <w:bookmarkEnd w:id="29"/>
    </w:p>
    <w:p>
      <w:pPr>
        <w:widowControl/>
        <w:jc w:val="center"/>
        <w:rPr>
          <w:rFonts w:hint="eastAsia" w:ascii="仿宋_GB2312" w:hAnsi="仿宋_GB2312" w:eastAsia="仿宋_GB2312" w:cs="仿宋_GB2312"/>
          <w:color w:val="000000" w:themeColor="text1"/>
          <w:kern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28"/>
          <w:szCs w:val="28"/>
          <w:lang w:eastAsia="zh-CN"/>
        </w:rPr>
        <w:fldChar w:fldCharType="end"/>
      </w:r>
    </w:p>
    <w:p>
      <w:pPr>
        <w:widowControl/>
        <w:jc w:val="center"/>
        <w:rPr>
          <w:rFonts w:hint="eastAsia" w:ascii="方正小标宋简体" w:eastAsia="方正小标宋简体"/>
          <w:color w:val="000000" w:themeColor="text1"/>
          <w:kern w:val="0"/>
          <w:sz w:val="36"/>
          <w:szCs w:val="36"/>
          <w:lang w:eastAsia="zh-CN"/>
        </w:rPr>
      </w:pPr>
    </w:p>
    <w:p>
      <w:pPr>
        <w:widowControl/>
        <w:jc w:val="center"/>
        <w:rPr>
          <w:rFonts w:hint="eastAsia" w:ascii="方正小标宋简体" w:eastAsia="方正小标宋简体"/>
          <w:color w:val="000000" w:themeColor="text1"/>
          <w:kern w:val="0"/>
          <w:sz w:val="36"/>
          <w:szCs w:val="36"/>
          <w:lang w:eastAsia="zh-CN"/>
        </w:rPr>
      </w:pPr>
    </w:p>
    <w:p>
      <w:pPr>
        <w:widowControl/>
        <w:jc w:val="center"/>
        <w:rPr>
          <w:rFonts w:hint="eastAsia" w:ascii="方正小标宋简体" w:eastAsia="方正小标宋简体"/>
          <w:color w:val="000000" w:themeColor="text1"/>
          <w:kern w:val="0"/>
          <w:sz w:val="36"/>
          <w:szCs w:val="36"/>
          <w:lang w:eastAsia="zh-CN"/>
        </w:rPr>
      </w:pPr>
    </w:p>
    <w:p>
      <w:pPr>
        <w:widowControl/>
        <w:jc w:val="center"/>
        <w:rPr>
          <w:rFonts w:hint="eastAsia" w:ascii="方正小标宋简体" w:eastAsia="方正小标宋简体"/>
          <w:color w:val="000000" w:themeColor="text1"/>
          <w:kern w:val="0"/>
          <w:sz w:val="36"/>
          <w:szCs w:val="36"/>
          <w:lang w:eastAsia="zh-CN"/>
        </w:rPr>
      </w:pPr>
    </w:p>
    <w:p>
      <w:pPr>
        <w:widowControl/>
        <w:jc w:val="center"/>
        <w:rPr>
          <w:rFonts w:hint="eastAsia" w:ascii="方正小标宋简体" w:eastAsia="方正小标宋简体"/>
          <w:color w:val="000000" w:themeColor="text1"/>
          <w:kern w:val="0"/>
          <w:sz w:val="36"/>
          <w:szCs w:val="36"/>
          <w:lang w:eastAsia="zh-CN"/>
        </w:rPr>
      </w:pPr>
    </w:p>
    <w:p>
      <w:pPr>
        <w:widowControl/>
        <w:jc w:val="center"/>
        <w:rPr>
          <w:rFonts w:hint="eastAsia" w:ascii="方正小标宋简体" w:eastAsia="方正小标宋简体"/>
          <w:color w:val="000000" w:themeColor="text1"/>
          <w:kern w:val="0"/>
          <w:sz w:val="36"/>
          <w:szCs w:val="36"/>
          <w:lang w:eastAsia="zh-CN"/>
        </w:rPr>
      </w:pPr>
    </w:p>
    <w:p>
      <w:pPr>
        <w:widowControl/>
        <w:jc w:val="center"/>
        <w:rPr>
          <w:rFonts w:hint="eastAsia" w:ascii="方正小标宋简体" w:eastAsia="方正小标宋简体"/>
          <w:color w:val="000000" w:themeColor="text1"/>
          <w:kern w:val="0"/>
          <w:sz w:val="36"/>
          <w:szCs w:val="36"/>
          <w:lang w:eastAsia="zh-CN"/>
        </w:rPr>
      </w:pPr>
    </w:p>
    <w:p>
      <w:pPr>
        <w:widowControl/>
        <w:jc w:val="center"/>
        <w:rPr>
          <w:rFonts w:hint="eastAsia" w:ascii="方正小标宋简体" w:eastAsia="方正小标宋简体"/>
          <w:color w:val="000000" w:themeColor="text1"/>
          <w:kern w:val="0"/>
          <w:sz w:val="36"/>
          <w:szCs w:val="36"/>
          <w:lang w:eastAsia="zh-CN"/>
        </w:rPr>
      </w:pPr>
    </w:p>
    <w:p>
      <w:pPr>
        <w:widowControl/>
        <w:jc w:val="center"/>
        <w:rPr>
          <w:rFonts w:hint="eastAsia" w:ascii="方正小标宋简体" w:eastAsia="方正小标宋简体"/>
          <w:color w:val="000000" w:themeColor="text1"/>
          <w:kern w:val="0"/>
          <w:sz w:val="36"/>
          <w:szCs w:val="36"/>
          <w:lang w:eastAsia="zh-CN"/>
        </w:rPr>
      </w:pPr>
    </w:p>
    <w:p>
      <w:pPr>
        <w:widowControl/>
        <w:jc w:val="center"/>
        <w:rPr>
          <w:rFonts w:hint="eastAsia" w:ascii="方正小标宋简体" w:eastAsia="方正小标宋简体"/>
          <w:color w:val="000000" w:themeColor="text1"/>
          <w:kern w:val="0"/>
          <w:sz w:val="36"/>
          <w:szCs w:val="36"/>
          <w:lang w:eastAsia="zh-CN"/>
        </w:rPr>
      </w:pPr>
    </w:p>
    <w:p>
      <w:pPr>
        <w:widowControl/>
        <w:jc w:val="center"/>
        <w:rPr>
          <w:rFonts w:hint="eastAsia" w:ascii="方正小标宋简体" w:eastAsia="方正小标宋简体"/>
          <w:color w:val="000000" w:themeColor="text1"/>
          <w:kern w:val="0"/>
          <w:sz w:val="36"/>
          <w:szCs w:val="36"/>
          <w:lang w:eastAsia="zh-CN"/>
        </w:rPr>
      </w:pPr>
    </w:p>
    <w:p>
      <w:pPr>
        <w:widowControl/>
        <w:jc w:val="center"/>
        <w:rPr>
          <w:rFonts w:hint="eastAsia" w:ascii="方正小标宋简体" w:eastAsia="方正小标宋简体"/>
          <w:color w:val="000000" w:themeColor="text1"/>
          <w:kern w:val="0"/>
          <w:sz w:val="44"/>
          <w:szCs w:val="44"/>
          <w:lang w:eastAsia="zh-CN"/>
        </w:rPr>
        <w:sectPr>
          <w:headerReference r:id="rId3" w:type="default"/>
          <w:pgSz w:w="11906" w:h="16838"/>
          <w:pgMar w:top="1247" w:right="1797" w:bottom="1247" w:left="1797" w:header="851" w:footer="992" w:gutter="0"/>
          <w:pgNumType w:fmt="decimal" w:start="1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center"/>
        <w:textAlignment w:val="auto"/>
        <w:rPr>
          <w:rFonts w:hint="default" w:ascii="Times New Roman" w:hAnsi="Times New Roman" w:eastAsia="方正小标宋简体" w:cs="Times New Roman"/>
          <w:color w:val="000000" w:themeColor="text1"/>
          <w:kern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 w:themeColor="text1"/>
          <w:kern w:val="0"/>
          <w:sz w:val="44"/>
          <w:szCs w:val="44"/>
          <w:lang w:val="en-US" w:eastAsia="zh-CN"/>
        </w:rPr>
        <w:t xml:space="preserve">  </w:t>
      </w:r>
      <w:r>
        <w:rPr>
          <w:rFonts w:hint="default" w:ascii="Times New Roman" w:hAnsi="Times New Roman" w:eastAsia="方正小标宋简体" w:cs="Times New Roman"/>
          <w:color w:val="000000" w:themeColor="text1"/>
          <w:kern w:val="0"/>
          <w:sz w:val="44"/>
          <w:szCs w:val="44"/>
          <w:lang w:eastAsia="zh-CN"/>
        </w:rPr>
        <w:t>团县委</w:t>
      </w:r>
      <w:r>
        <w:rPr>
          <w:rFonts w:hint="default" w:ascii="Times New Roman" w:hAnsi="Times New Roman" w:eastAsia="方正小标宋简体" w:cs="Times New Roman"/>
          <w:color w:val="000000" w:themeColor="text1"/>
          <w:kern w:val="0"/>
          <w:sz w:val="44"/>
          <w:szCs w:val="44"/>
        </w:rPr>
        <w:t>部门</w:t>
      </w:r>
      <w:r>
        <w:rPr>
          <w:rFonts w:hint="default" w:ascii="Times New Roman" w:hAnsi="Times New Roman" w:eastAsia="方正小标宋简体" w:cs="Times New Roman"/>
          <w:color w:val="000000" w:themeColor="text1"/>
          <w:kern w:val="0"/>
          <w:sz w:val="44"/>
          <w:szCs w:val="44"/>
          <w:lang w:val="en-US" w:eastAsia="zh-CN"/>
        </w:rPr>
        <w:t>2018</w:t>
      </w:r>
      <w:r>
        <w:rPr>
          <w:rFonts w:hint="default" w:ascii="Times New Roman" w:hAnsi="Times New Roman" w:eastAsia="方正小标宋简体" w:cs="Times New Roman"/>
          <w:color w:val="000000" w:themeColor="text1"/>
          <w:kern w:val="0"/>
          <w:sz w:val="44"/>
          <w:szCs w:val="44"/>
        </w:rPr>
        <w:t>年部门预算编制说明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left"/>
        <w:textAlignment w:val="auto"/>
        <w:rPr>
          <w:rFonts w:hint="default" w:ascii="Times New Roman" w:hAnsi="Times New Roman" w:eastAsia="黑体" w:cs="Times New Roman"/>
          <w:color w:val="000000" w:themeColor="text1"/>
          <w:kern w:val="0"/>
          <w:sz w:val="30"/>
          <w:szCs w:val="30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outlineLvl w:val="0"/>
        <w:rPr>
          <w:rFonts w:hint="default" w:ascii="Times New Roman" w:hAnsi="Times New Roman" w:eastAsia="黑体" w:cs="Times New Roman"/>
          <w:color w:val="000000" w:themeColor="text1"/>
          <w:kern w:val="0"/>
          <w:sz w:val="32"/>
          <w:szCs w:val="32"/>
        </w:rPr>
      </w:pPr>
      <w:bookmarkStart w:id="0" w:name="_Toc5812"/>
      <w:bookmarkStart w:id="1" w:name="_Toc16467"/>
      <w:bookmarkStart w:id="2" w:name="_Toc24061"/>
      <w:r>
        <w:rPr>
          <w:rFonts w:hint="default" w:ascii="Times New Roman" w:hAnsi="Times New Roman" w:eastAsia="黑体" w:cs="Times New Roman"/>
          <w:color w:val="000000" w:themeColor="text1"/>
          <w:kern w:val="0"/>
          <w:sz w:val="32"/>
          <w:szCs w:val="32"/>
          <w:lang w:eastAsia="zh-CN"/>
        </w:rPr>
        <w:t>一、</w:t>
      </w:r>
      <w:r>
        <w:rPr>
          <w:rFonts w:hint="default" w:ascii="Times New Roman" w:hAnsi="Times New Roman" w:eastAsia="黑体" w:cs="Times New Roman"/>
          <w:color w:val="000000" w:themeColor="text1"/>
          <w:kern w:val="0"/>
          <w:sz w:val="32"/>
          <w:szCs w:val="32"/>
        </w:rPr>
        <w:t>基本职能及主要工作</w:t>
      </w:r>
      <w:bookmarkEnd w:id="0"/>
      <w:bookmarkEnd w:id="1"/>
      <w:bookmarkEnd w:id="2"/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outlineLvl w:val="0"/>
        <w:rPr>
          <w:rFonts w:hint="default" w:ascii="Times New Roman" w:hAnsi="Times New Roman" w:eastAsia="楷体_GB2312" w:cs="Times New Roman"/>
          <w:b/>
          <w:color w:val="000000" w:themeColor="text1"/>
          <w:kern w:val="0"/>
          <w:sz w:val="32"/>
          <w:szCs w:val="32"/>
        </w:rPr>
      </w:pPr>
      <w:bookmarkStart w:id="3" w:name="_Toc18870"/>
      <w:bookmarkStart w:id="4" w:name="_Toc5503"/>
      <w:bookmarkStart w:id="5" w:name="_Toc1779"/>
      <w:bookmarkStart w:id="6" w:name="_Toc5002"/>
      <w:r>
        <w:rPr>
          <w:rFonts w:hint="eastAsia" w:eastAsia="楷体_GB2312" w:cs="Times New Roman"/>
          <w:color w:val="000000" w:themeColor="text1"/>
          <w:kern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_GB2312" w:cs="Times New Roman"/>
          <w:color w:val="000000" w:themeColor="text1"/>
          <w:kern w:val="0"/>
          <w:sz w:val="32"/>
          <w:szCs w:val="32"/>
          <w:lang w:eastAsia="zh-CN"/>
        </w:rPr>
        <w:t>一</w:t>
      </w:r>
      <w:r>
        <w:rPr>
          <w:rFonts w:hint="eastAsia" w:eastAsia="楷体_GB2312" w:cs="Times New Roman"/>
          <w:color w:val="000000" w:themeColor="text1"/>
          <w:kern w:val="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楷体_GB2312" w:cs="Times New Roman"/>
          <w:color w:val="000000" w:themeColor="text1"/>
          <w:kern w:val="0"/>
          <w:sz w:val="32"/>
          <w:szCs w:val="32"/>
        </w:rPr>
        <w:t>部门主要职责</w:t>
      </w:r>
      <w:bookmarkEnd w:id="3"/>
      <w:bookmarkEnd w:id="4"/>
      <w:bookmarkEnd w:id="5"/>
      <w:bookmarkEnd w:id="6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共青团禄劝彝族苗族自治县委是共青团组织在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fldChar w:fldCharType="begin"/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instrText xml:space="preserve"> HYPERLINK "http://www.so.com/s?q=%E5%8E%BF%E7%BA%A7%E8%A1%8C%E6%94%BF%E5%8C%BA&amp;ie=utf-8&amp;src=internal_wenda_recommend_textn" \t "https://wenda.so.com/q/_blank" </w:instrTex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fldChar w:fldCharType="separate"/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县级行政区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fldChar w:fldCharType="end"/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的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fldChar w:fldCharType="begin"/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instrText xml:space="preserve"> HYPERLINK "http://www.so.com/s?q=%E9%A2%86%E5%AF%BC&amp;ie=utf-8&amp;src=internal_wenda_recommend_textn" \t "https://wenda.so.com/q/_blank" </w:instrTex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fldChar w:fldCharType="separate"/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领导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fldChar w:fldCharType="end"/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机关。在禄劝县委和昆明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fldChar w:fldCharType="begin"/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instrText xml:space="preserve"> HYPERLINK "http://www.so.com/s?q=%E5%85%B1%E9%9D%92%E5%9B%A2%E5%B8%82%E5%A7%94&amp;ie=utf-8&amp;src=internal_wenda_recommend_textn" \t "https://wenda.so.com/q/_blank" </w:instrTex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fldChar w:fldCharType="separate"/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共青团市委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fldChar w:fldCharType="end"/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的领导下，依据《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fldChar w:fldCharType="begin"/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instrText xml:space="preserve"> HYPERLINK "http://www.so.com/s?q=%E4%B8%AD%E5%9B%BD%E5%85%B1%E4%BA%A7%E4%B8%BB%E4%B9%89%E9%9D%92%E5%B9%B4%E5%9B%A2%E7%AB%A0%E7%A8%8B&amp;ie=utf-8&amp;src=internal_wenda_recommend_textn" \t "https://wenda.so.com/q/_blank" </w:instrTex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fldChar w:fldCharType="separate"/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中国共产主义青年团章程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fldChar w:fldCharType="end"/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》开展工作。主要工作职能：1.根据党在各个时期的路线、方针、政策，围绕县委县政府的中心工作，按照上级团委的要求，拟定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fldChar w:fldCharType="begin"/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instrText xml:space="preserve"> HYPERLINK "http://www.so.com/s?q=%E5%85%A8%E5%8E%BF&amp;ie=utf-8&amp;src=internal_wenda_recommend_textn" \t "https://wenda.so.com/q/_blank" </w:instrTex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fldChar w:fldCharType="separate"/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全县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fldChar w:fldCharType="end"/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共青团工作计划。2.落实党建带团建的要求，及时向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fldChar w:fldCharType="begin"/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instrText xml:space="preserve"> HYPERLINK "http://www.so.com/s?q=%E5%8E%BF%E5%A7%94&amp;ie=utf-8&amp;src=internal_wenda_recommend_textn" \t "https://wenda.so.com/q/_blank" </w:instrTex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fldChar w:fldCharType="separate"/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县委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fldChar w:fldCharType="end"/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汇报团的工作，积极争取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fldChar w:fldCharType="begin"/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instrText xml:space="preserve"> HYPERLINK "http://www.so.com/s?q=%E5%B0%86%E5%9B%A2&amp;ie=utf-8&amp;src=internal_wenda_recommend_textn" \t "https://wenda.so.com/q/_blank" </w:instrTex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fldChar w:fldCharType="separate"/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将团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fldChar w:fldCharType="end"/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的基层组织建设纳入党的基层组织建设总体格局，扩大团的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fldChar w:fldCharType="begin"/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instrText xml:space="preserve"> HYPERLINK "http://www.so.com/s?q=%E7%BB%84%E7%BB%87&amp;ie=utf-8&amp;src=internal_wenda_recommend_textn" \t "https://wenda.so.com/q/_blank" </w:instrTex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fldChar w:fldCharType="separate"/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组织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fldChar w:fldCharType="end"/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覆盖面。3.对团员、青年进行理想信念教育、道德教育、纪律教育和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fldChar w:fldCharType="begin"/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instrText xml:space="preserve"> HYPERLINK "http://www.so.com/s?q=%E9%9D%A9%E5%91%BD%E4%BC%A0%E7%BB%9F%E6%95%99%E8%82%B2&amp;ie=utf-8&amp;src=internal_wenda_recommend_textn" \t "https://wenda.so.com/q/_blank" </w:instrTex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fldChar w:fldCharType="separate"/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革命传统教育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fldChar w:fldCharType="end"/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，引导团员、青年提高思想政治觉悟。4.指导全县少先队的工作，协助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fldChar w:fldCharType="begin"/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instrText xml:space="preserve"> HYPERLINK "http://www.so.com/s?q=%E6%9C%89%E5%85%B3%E9%83%A8%E9%97%A8&amp;ie=utf-8&amp;src=internal_wenda_recommend_textn" \t "https://wenda.so.com/q/_blank" </w:instrTex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fldChar w:fldCharType="separate"/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有关部门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fldChar w:fldCharType="end"/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选拔好优秀辅导员，对少先队进行以共产主义为主题的理想信念教育和爱国主义教育，培养其成为“四有”新人。5.加强团的基层组织建设和各项规章制度建设，协助组织部门做好团干部的管理、使用和考察。积极推荐优秀团员入党；负责团费的收缴、管理和使用。6.调查青少年思想动态和青少年工作状况，研究青少年运动、青少年思想教育和青少年事业发展等问题，提出相应对策，开展各种健康有益的活动。7.参与拟定全县青少年事业发展规划和青少年工作方针、政策，协助教育部门做好中小学学生的思想、道德教育管理工作，对青少年活动阵地、青少年服务机构建设等事务进行规划和管理。8.负责指导管理全县青年组织和青年社团组织工作。9.完成县委县政府和上级团委交办的其他工作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default" w:ascii="Times New Roman" w:hAnsi="Times New Roman" w:eastAsia="楷体_GB2312" w:cs="Times New Roman"/>
          <w:color w:val="000000" w:themeColor="text1"/>
          <w:kern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color w:val="000000" w:themeColor="text1"/>
          <w:kern w:val="0"/>
          <w:sz w:val="32"/>
          <w:szCs w:val="32"/>
        </w:rPr>
        <w:t>（二）机构设置情况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团县委编制7人（其中：公务员编制6人、工勤编制1人；现有在职人员5人，公务员3人、工勤人员2人）。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楷体_GB2312" w:cs="Times New Roman"/>
          <w:color w:val="000000" w:themeColor="text1"/>
          <w:kern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color w:val="000000" w:themeColor="text1"/>
          <w:kern w:val="0"/>
          <w:sz w:val="32"/>
          <w:szCs w:val="32"/>
        </w:rPr>
        <w:t>（三）重点工作概述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黑体" w:cs="Times New Roman"/>
          <w:color w:val="000000" w:themeColor="text1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fill="FFFFFF"/>
          <w:lang w:eastAsia="zh-CN"/>
        </w:rPr>
        <w:t>团委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fill="FFFFFF"/>
        </w:rPr>
        <w:t>的工作主要有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fill="FFFFFF"/>
          <w:lang w:eastAsia="zh-CN"/>
        </w:rPr>
        <w:t>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fill="FFFFFF"/>
          <w:lang w:val="en-US" w:eastAsia="zh-CN"/>
        </w:rPr>
        <w:t>1.持续推进全面从严治团，严肃团的组织生活，严格按要求开展“三会两制一课”，严抓团员教育管理；2.深化脱贫攻坚宣传发动工作。把参与精准扶贫精准脱贫作为共青团服务党政中心工作的重要载体，突显共青团特色，充分发挥共青团基本职能；3.有效服务青年创业就业。加强部门联动，通过组织劳动力转移就业培训、实用技能培训、承办“贷免扶补”等工作，统筹做好以大中专毕业生、下岗失业青年、返乡农民工为主要对象的青年创业就业扶持引导，切实做好青年创业就业服务工作；4.积极开展青少年成长关爱工作。依托“少数民族地区贫困留守儿童成长关爱项目”，强化社会组织力量的参与，积极对接社会资源，为贫困青少年、特殊青少年群体提供心理辅导、自护教育、法制教育等专题教育和相关物质帮扶救助，切实推进贫困青少年、特殊青少年群体成长关爱工作。</w:t>
      </w:r>
      <w:bookmarkStart w:id="7" w:name="_Toc28694"/>
      <w:bookmarkStart w:id="8" w:name="_Toc11046"/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outlineLvl w:val="0"/>
        <w:rPr>
          <w:rFonts w:hint="default" w:ascii="Times New Roman" w:hAnsi="Times New Roman" w:eastAsia="黑体" w:cs="Times New Roman"/>
          <w:color w:val="000000" w:themeColor="text1"/>
          <w:kern w:val="0"/>
          <w:sz w:val="32"/>
          <w:szCs w:val="32"/>
        </w:rPr>
      </w:pPr>
      <w:bookmarkStart w:id="9" w:name="_Toc22802"/>
      <w:r>
        <w:rPr>
          <w:rFonts w:hint="default" w:ascii="Times New Roman" w:hAnsi="Times New Roman" w:eastAsia="黑体" w:cs="Times New Roman"/>
          <w:color w:val="000000" w:themeColor="text1"/>
          <w:kern w:val="0"/>
          <w:sz w:val="32"/>
          <w:szCs w:val="32"/>
        </w:rPr>
        <w:t>二、预算单位基本情况</w:t>
      </w:r>
      <w:bookmarkEnd w:id="7"/>
      <w:bookmarkEnd w:id="8"/>
      <w:bookmarkEnd w:id="9"/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我部门编制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2018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年部门预算单位共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个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eastAsia="zh-CN"/>
        </w:rPr>
        <w:t>，是中国共产主义青年团禄劝彝族苗族自治县委员会。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其中：财政全供给单位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个；参公管理事业单位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个。截止2017年11月统计，部门基本情况如下：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在职人员编制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 xml:space="preserve">人，其中：行政编制 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人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eastAsia="zh-CN"/>
        </w:rPr>
        <w:t>，工勤编制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1人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。在职实有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 xml:space="preserve">人，其中：财政全供养 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人。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 xml:space="preserve">离退休人员 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人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eastAsia="zh-CN"/>
        </w:rPr>
        <w:t>。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黑体" w:cs="Times New Roman"/>
          <w:color w:val="000000" w:themeColor="text1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车辆编制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辆，实有车辆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辆。</w:t>
      </w:r>
      <w:bookmarkStart w:id="10" w:name="_Toc773"/>
      <w:bookmarkStart w:id="11" w:name="_Toc13668"/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outlineLvl w:val="0"/>
        <w:rPr>
          <w:rFonts w:hint="default" w:ascii="Times New Roman" w:hAnsi="Times New Roman" w:eastAsia="黑体" w:cs="Times New Roman"/>
          <w:color w:val="000000" w:themeColor="text1"/>
          <w:kern w:val="0"/>
          <w:sz w:val="32"/>
          <w:szCs w:val="32"/>
        </w:rPr>
      </w:pPr>
      <w:bookmarkStart w:id="12" w:name="_Toc2912"/>
      <w:r>
        <w:rPr>
          <w:rFonts w:hint="default" w:ascii="Times New Roman" w:hAnsi="Times New Roman" w:eastAsia="黑体" w:cs="Times New Roman"/>
          <w:color w:val="000000" w:themeColor="text1"/>
          <w:kern w:val="0"/>
          <w:sz w:val="32"/>
          <w:szCs w:val="32"/>
        </w:rPr>
        <w:t>三、预算单位收入情况</w:t>
      </w:r>
      <w:bookmarkEnd w:id="10"/>
      <w:bookmarkEnd w:id="11"/>
      <w:bookmarkEnd w:id="12"/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楷体_GB2312" w:cs="Times New Roman"/>
          <w:color w:val="000000" w:themeColor="text1"/>
          <w:kern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color w:val="000000" w:themeColor="text1"/>
          <w:kern w:val="0"/>
          <w:sz w:val="32"/>
          <w:szCs w:val="32"/>
        </w:rPr>
        <w:t>（一）部门财务收入情况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2018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 xml:space="preserve">年部门财务总收入 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238.63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万元，其中：一般公共预算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238.63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万元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eastAsia="zh-CN"/>
        </w:rPr>
        <w:t>。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color w:val="000000" w:themeColor="text1"/>
          <w:kern w:val="0"/>
          <w:sz w:val="32"/>
          <w:szCs w:val="32"/>
        </w:rPr>
        <w:t>（二）财政拨款收入情况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黑体" w:cs="Times New Roman"/>
          <w:color w:val="000000" w:themeColor="text1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2018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年部门财政拨款收入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238.63万元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，其中:本年收入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238.63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万元，上年结转收入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万元。本年收入中，一般公共预算财政拨款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238.63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万元（本级财力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238.63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万元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专项收入0万元，执法办案补助0万元，收费成本补偿0万元，财政专户管理的收入0万元，国有资源（资产）有偿使用收入0万元），政府性基金财政拨款0万元，国有资本经营收益财政拨款0万元）。</w:t>
      </w:r>
      <w:bookmarkStart w:id="13" w:name="_Toc21469"/>
      <w:bookmarkStart w:id="14" w:name="_Toc28671"/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outlineLvl w:val="0"/>
        <w:rPr>
          <w:rFonts w:hint="default" w:ascii="Times New Roman" w:hAnsi="Times New Roman" w:eastAsia="黑体" w:cs="Times New Roman"/>
          <w:color w:val="000000" w:themeColor="text1"/>
          <w:kern w:val="0"/>
          <w:sz w:val="32"/>
          <w:szCs w:val="32"/>
        </w:rPr>
      </w:pPr>
      <w:bookmarkStart w:id="15" w:name="_Toc2936"/>
      <w:r>
        <w:rPr>
          <w:rFonts w:hint="default" w:ascii="Times New Roman" w:hAnsi="Times New Roman" w:eastAsia="黑体" w:cs="Times New Roman"/>
          <w:color w:val="000000" w:themeColor="text1"/>
          <w:kern w:val="0"/>
          <w:sz w:val="32"/>
          <w:szCs w:val="32"/>
        </w:rPr>
        <w:t>四、预算单位支出情况</w:t>
      </w:r>
      <w:bookmarkEnd w:id="13"/>
      <w:bookmarkEnd w:id="14"/>
      <w:bookmarkEnd w:id="15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2018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年部门预算总支出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238.63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万元。本级财力安排支出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238.63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万元，其中，基本支出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68.63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万元，项目支出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170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万元。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楷体_GB2312" w:cs="Times New Roman"/>
          <w:color w:val="000000" w:themeColor="text1"/>
          <w:kern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color w:val="000000" w:themeColor="text1"/>
          <w:kern w:val="0"/>
          <w:sz w:val="32"/>
          <w:szCs w:val="32"/>
        </w:rPr>
        <w:t>（一）本级财力支出按功能科目分类情况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一般公共服务支出-群众团体事务-行政运行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52.5万元，其中工资福利支出37.65万元、商品服务支出4.35万元、业务经费4万元、共青团基层团组织建设经费6.5万元。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一般公共服务支出-群众团体事务-其他群众团体事务支出170万元，其中：县关工委关心下一代经费15万元，团县委改革经费150万元、未成年人司法项目工作经费5万元。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社会保障和就业支出-行政事业单位离退休-机关事业单位基本养老保险缴费支出7.14万元，全部用于缴纳在职人员基本养老保险费（单位部分）。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住房保障支出-住房改革支出-住房公积金3.94万元，全部用于缴纳在职人员住房公积金（单位部分）。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医疗卫生与计划生育支出-财政对基本医疗保险基金的补助-机关事业单位基本医疗保险基金补助3.41万元，全部用于缴纳在职人员基本医疗保险费（单位部分）。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医疗卫生与计划生育支出-行政事业单位医疗-公务员医疗补助1.64万元。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color w:val="000000" w:themeColor="text1"/>
          <w:kern w:val="0"/>
          <w:sz w:val="32"/>
          <w:szCs w:val="32"/>
        </w:rPr>
        <w:t>（二）本级财力支出按经济科目分类情况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default" w:ascii="Times New Roman" w:hAnsi="Times New Roman" w:eastAsia="黑体" w:cs="Times New Roman"/>
          <w:color w:val="000000" w:themeColor="text1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按支出经济分类科目分组（基本支出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68.63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万元，项目支出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170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万元。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eastAsia="zh-CN"/>
        </w:rPr>
        <w:t>）</w:t>
      </w:r>
      <w:bookmarkStart w:id="16" w:name="_Toc17673"/>
      <w:bookmarkStart w:id="17" w:name="_Toc21101"/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outlineLvl w:val="0"/>
        <w:rPr>
          <w:rFonts w:hint="default" w:ascii="Times New Roman" w:hAnsi="Times New Roman" w:eastAsia="黑体" w:cs="Times New Roman"/>
          <w:color w:val="000000" w:themeColor="text1"/>
          <w:kern w:val="0"/>
          <w:sz w:val="32"/>
          <w:szCs w:val="32"/>
        </w:rPr>
      </w:pPr>
      <w:bookmarkStart w:id="18" w:name="_Toc10006"/>
      <w:r>
        <w:rPr>
          <w:rFonts w:hint="default" w:ascii="Times New Roman" w:hAnsi="Times New Roman" w:eastAsia="黑体" w:cs="Times New Roman"/>
          <w:color w:val="000000" w:themeColor="text1"/>
          <w:kern w:val="0"/>
          <w:sz w:val="32"/>
          <w:szCs w:val="32"/>
        </w:rPr>
        <w:t>五、市对下</w:t>
      </w:r>
      <w:r>
        <w:rPr>
          <w:rFonts w:hint="default" w:ascii="Times New Roman" w:hAnsi="Times New Roman" w:eastAsia="黑体" w:cs="Times New Roman"/>
          <w:color w:val="000000" w:themeColor="text1"/>
          <w:kern w:val="0"/>
          <w:sz w:val="32"/>
          <w:szCs w:val="32"/>
          <w:lang w:eastAsia="zh-CN"/>
        </w:rPr>
        <w:t>专</w:t>
      </w:r>
      <w:r>
        <w:rPr>
          <w:rFonts w:hint="default" w:ascii="Times New Roman" w:hAnsi="Times New Roman" w:eastAsia="黑体" w:cs="Times New Roman"/>
          <w:color w:val="000000" w:themeColor="text1"/>
          <w:kern w:val="0"/>
          <w:sz w:val="32"/>
          <w:szCs w:val="32"/>
        </w:rPr>
        <w:t>项转移支付情况</w:t>
      </w:r>
      <w:bookmarkEnd w:id="16"/>
      <w:bookmarkEnd w:id="17"/>
      <w:bookmarkEnd w:id="18"/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楷体_GB2312" w:cs="Times New Roman"/>
          <w:color w:val="000000" w:themeColor="text1"/>
          <w:kern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color w:val="000000" w:themeColor="text1"/>
          <w:kern w:val="0"/>
          <w:sz w:val="32"/>
          <w:szCs w:val="32"/>
        </w:rPr>
        <w:t>（一）列入市对下专项转移支付项目清单项目情况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黑体" w:cs="Times New Roman"/>
          <w:color w:val="000000" w:themeColor="text1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无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市对下专项转移支付项目清单项目情况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eastAsia="zh-CN"/>
        </w:rPr>
        <w:t>。</w:t>
      </w:r>
      <w:bookmarkStart w:id="19" w:name="_Toc16178"/>
      <w:bookmarkStart w:id="20" w:name="_Toc7938"/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outlineLvl w:val="0"/>
        <w:rPr>
          <w:rFonts w:hint="default" w:ascii="Times New Roman" w:hAnsi="Times New Roman" w:eastAsia="黑体" w:cs="Times New Roman"/>
          <w:color w:val="000000" w:themeColor="text1"/>
          <w:kern w:val="0"/>
          <w:sz w:val="32"/>
          <w:szCs w:val="32"/>
        </w:rPr>
      </w:pPr>
      <w:bookmarkStart w:id="21" w:name="_Toc7611"/>
      <w:r>
        <w:rPr>
          <w:rFonts w:hint="default" w:ascii="Times New Roman" w:hAnsi="Times New Roman" w:eastAsia="黑体" w:cs="Times New Roman"/>
          <w:color w:val="000000" w:themeColor="text1"/>
          <w:kern w:val="0"/>
          <w:sz w:val="32"/>
          <w:szCs w:val="32"/>
          <w:lang w:eastAsia="zh-CN"/>
        </w:rPr>
        <w:t>六</w:t>
      </w:r>
      <w:r>
        <w:rPr>
          <w:rFonts w:hint="default" w:ascii="Times New Roman" w:hAnsi="Times New Roman" w:eastAsia="黑体" w:cs="Times New Roman"/>
          <w:color w:val="000000" w:themeColor="text1"/>
          <w:kern w:val="0"/>
          <w:sz w:val="32"/>
          <w:szCs w:val="32"/>
        </w:rPr>
        <w:t>、政府采购预算情况</w:t>
      </w:r>
      <w:bookmarkEnd w:id="19"/>
      <w:bookmarkEnd w:id="20"/>
      <w:bookmarkEnd w:id="21"/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黑体" w:cs="Times New Roman"/>
          <w:color w:val="000000" w:themeColor="text1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根据《中华人民共和国政府采购法》的有关规定， 无政府采购预算。</w:t>
      </w:r>
      <w:bookmarkStart w:id="22" w:name="_Toc3423"/>
      <w:bookmarkStart w:id="23" w:name="_Toc19929"/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outlineLvl w:val="0"/>
        <w:rPr>
          <w:rFonts w:hint="default" w:ascii="Times New Roman" w:hAnsi="Times New Roman" w:eastAsia="黑体" w:cs="Times New Roman"/>
          <w:color w:val="000000" w:themeColor="text1"/>
          <w:kern w:val="0"/>
          <w:sz w:val="32"/>
          <w:szCs w:val="32"/>
        </w:rPr>
      </w:pPr>
      <w:bookmarkStart w:id="24" w:name="_Toc17855"/>
      <w:r>
        <w:rPr>
          <w:rFonts w:hint="default" w:ascii="Times New Roman" w:hAnsi="Times New Roman" w:eastAsia="黑体" w:cs="Times New Roman"/>
          <w:color w:val="000000" w:themeColor="text1"/>
          <w:kern w:val="0"/>
          <w:sz w:val="32"/>
          <w:szCs w:val="32"/>
          <w:lang w:eastAsia="zh-CN"/>
        </w:rPr>
        <w:t>七</w:t>
      </w:r>
      <w:r>
        <w:rPr>
          <w:rFonts w:hint="default" w:ascii="Times New Roman" w:hAnsi="Times New Roman" w:eastAsia="黑体" w:cs="Times New Roman"/>
          <w:color w:val="000000" w:themeColor="text1"/>
          <w:kern w:val="0"/>
          <w:sz w:val="32"/>
          <w:szCs w:val="32"/>
        </w:rPr>
        <w:t>、预算收支增减变化情况说明</w:t>
      </w:r>
      <w:bookmarkEnd w:id="22"/>
      <w:bookmarkEnd w:id="23"/>
      <w:bookmarkEnd w:id="24"/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楷体_GB2312" w:cs="Times New Roman"/>
          <w:color w:val="000000" w:themeColor="text1"/>
          <w:kern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color w:val="000000" w:themeColor="text1"/>
          <w:kern w:val="0"/>
          <w:sz w:val="32"/>
          <w:szCs w:val="32"/>
        </w:rPr>
        <w:t>（一）预算收支变动的主要原因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2018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年本级财力安排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eastAsia="zh-CN"/>
        </w:rPr>
        <w:t>团县委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部门基本支出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68.63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万元，与上年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40.01万元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对比增加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28.62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万元，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fill="FFFFFF"/>
        </w:rPr>
        <w:t>其主要原因是</w:t>
      </w: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fill="FFFFFF"/>
          <w:lang w:eastAsia="zh-CN"/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fill="FFFFFF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fill="FFFFFF"/>
        </w:rPr>
        <w:t>单位职工增资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fill="FFFFFF"/>
          <w:lang w:eastAsia="zh-CN"/>
        </w:rPr>
        <w:t>，相应预算增加。</w:t>
      </w: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shd w:val="clear" w:fill="FFFFFF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fill="FFFFFF"/>
          <w:lang w:val="en-US" w:eastAsia="zh-CN"/>
        </w:rPr>
        <w:t>因工作需要，2017年新招录一名公务员、2017年11月新调入一名副书记，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fill="FFFFFF"/>
          <w:lang w:eastAsia="zh-CN"/>
        </w:rPr>
        <w:t>相应预算增加。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楷体_GB2312" w:cs="Times New Roman"/>
          <w:color w:val="000000" w:themeColor="text1"/>
          <w:kern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color w:val="000000" w:themeColor="text1"/>
          <w:kern w:val="0"/>
          <w:sz w:val="32"/>
          <w:szCs w:val="32"/>
        </w:rPr>
        <w:t>（</w:t>
      </w:r>
      <w:r>
        <w:rPr>
          <w:rFonts w:hint="default" w:ascii="Times New Roman" w:hAnsi="Times New Roman" w:eastAsia="楷体_GB2312" w:cs="Times New Roman"/>
          <w:color w:val="000000" w:themeColor="text1"/>
          <w:kern w:val="0"/>
          <w:sz w:val="32"/>
          <w:szCs w:val="32"/>
          <w:lang w:eastAsia="zh-CN"/>
        </w:rPr>
        <w:t>二</w:t>
      </w:r>
      <w:r>
        <w:rPr>
          <w:rFonts w:hint="default" w:ascii="Times New Roman" w:hAnsi="Times New Roman" w:eastAsia="楷体_GB2312" w:cs="Times New Roman"/>
          <w:color w:val="000000" w:themeColor="text1"/>
          <w:kern w:val="0"/>
          <w:sz w:val="32"/>
          <w:szCs w:val="32"/>
        </w:rPr>
        <w:t>）项目支出预算变动的主要原因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/>
          <w:color w:val="000000" w:themeColor="text1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2018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年本级财力安排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eastAsia="zh-CN"/>
        </w:rPr>
        <w:t>团县委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部门项目支出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170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万元，与上年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20万元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对比增加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150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万元，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fill="FFFFFF"/>
        </w:rPr>
        <w:t>其主要原因是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fill="FFFFFF"/>
          <w:lang w:eastAsia="zh-CN"/>
        </w:rPr>
        <w:t>依据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fill="FFFFFF"/>
        </w:rPr>
        <w:t>《共青团禄劝彝族苗族自治县委改革实施方案》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fill="FFFFFF"/>
          <w:lang w:eastAsia="zh-CN"/>
        </w:rPr>
        <w:t>，增加团县委改革经费。</w:t>
      </w: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rightChars="0" w:firstLine="640" w:firstLineChars="200"/>
        <w:jc w:val="both"/>
        <w:textAlignment w:val="auto"/>
        <w:outlineLvl w:val="0"/>
        <w:rPr>
          <w:rFonts w:hint="default" w:ascii="Times New Roman" w:hAnsi="Times New Roman" w:eastAsia="黑体" w:cs="Times New Roman"/>
          <w:b w:val="0"/>
          <w:bCs w:val="0"/>
          <w:color w:val="000000" w:themeColor="text1"/>
          <w:kern w:val="0"/>
          <w:sz w:val="32"/>
          <w:szCs w:val="32"/>
        </w:rPr>
      </w:pPr>
      <w:bookmarkStart w:id="25" w:name="_Toc507579639"/>
      <w:bookmarkStart w:id="26" w:name="_Toc29443"/>
      <w:bookmarkStart w:id="27" w:name="_Toc12429"/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kern w:val="0"/>
          <w:sz w:val="32"/>
          <w:szCs w:val="32"/>
        </w:rPr>
        <w:t>八、其他公开信息</w:t>
      </w:r>
      <w:bookmarkEnd w:id="25"/>
      <w:bookmarkEnd w:id="26"/>
      <w:bookmarkEnd w:id="27"/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outlineLvl w:val="1"/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</w:pPr>
      <w:bookmarkStart w:id="28" w:name="_Toc29572"/>
      <w:r>
        <w:rPr>
          <w:rFonts w:hint="default" w:ascii="Times New Roman" w:hAnsi="Times New Roman" w:eastAsia="楷体_GB2312" w:cs="Times New Roman"/>
          <w:color w:val="000000" w:themeColor="text1"/>
          <w:kern w:val="0"/>
          <w:sz w:val="32"/>
          <w:szCs w:val="32"/>
        </w:rPr>
        <w:t>（一）专业名词解释</w:t>
      </w:r>
      <w:bookmarkEnd w:id="28"/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“三公”经费包括因公出国（境）费、公务用车购置及运行费和公务接待费。（1）因公出国（境）费，指单位工作人员公务出国（境）的住宿费、旅费、伙食补助费、杂费、培训费等支出。（2）公务用车购置及运行费，指单位公务用车购置费及租用费、燃料费、维修费、过路过桥费、保险费、安全奖励费用等支出，公务用车指用于履行公务的机动车辆，包括领导干部专车、一般公务用车和执法执勤用车。（3）公务接待费，指单位按规定开支的各类公务接待（含外宾接待）支出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</w:rPr>
        <w:t xml:space="preserve">     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</w:rPr>
        <w:t xml:space="preserve"> 基本支出:指为保障机构正常运转、完成日常工作任务而发生的人员 支出和公用支出。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楷体_GB2312" w:cs="Times New Roman"/>
          <w:color w:val="000000" w:themeColor="text1"/>
          <w:kern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color w:val="000000" w:themeColor="text1"/>
          <w:kern w:val="0"/>
          <w:sz w:val="32"/>
          <w:szCs w:val="32"/>
        </w:rPr>
        <w:t>（二）机关运行经费安排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/>
          <w:color w:val="000000" w:themeColor="text1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2018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年本级财力安排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eastAsia="zh-CN"/>
        </w:rPr>
        <w:t>团县委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部门机关运行经费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14.85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万元，主要用于办公经费、印刷费、水电费、汽燃费、办公设备购置等日常开支，以保证机构正常运转。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楷体_GB2312" w:cs="Times New Roman"/>
          <w:color w:val="000000" w:themeColor="text1"/>
          <w:kern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color w:val="000000" w:themeColor="text1"/>
          <w:kern w:val="0"/>
          <w:sz w:val="32"/>
          <w:szCs w:val="32"/>
        </w:rPr>
        <w:t>（三）国有资产占用情况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鉴于截至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2018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年12月31日的国有资产占有使用情况需在完成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2018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年决算编制后才能统计汇总相关数据，因此，将在公开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2018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年度部门决算时一并公开部门截至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2018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年12月31日的国有资产占有使用情况。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hint="default" w:ascii="Times New Roman" w:hAnsi="Times New Roman" w:eastAsia="楷体_GB2312" w:cs="Times New Roman"/>
          <w:color w:val="000000" w:themeColor="text1"/>
          <w:kern w:val="0"/>
          <w:sz w:val="32"/>
          <w:szCs w:val="32"/>
        </w:rPr>
        <w:t>（</w:t>
      </w:r>
      <w:r>
        <w:rPr>
          <w:rFonts w:hint="default" w:ascii="Times New Roman" w:hAnsi="Times New Roman" w:eastAsia="楷体_GB2312" w:cs="Times New Roman"/>
          <w:color w:val="000000" w:themeColor="text1"/>
          <w:kern w:val="0"/>
          <w:sz w:val="32"/>
          <w:szCs w:val="32"/>
          <w:lang w:eastAsia="zh-CN"/>
        </w:rPr>
        <w:t>四</w:t>
      </w:r>
      <w:r>
        <w:rPr>
          <w:rFonts w:hint="default" w:ascii="Times New Roman" w:hAnsi="Times New Roman" w:eastAsia="楷体_GB2312" w:cs="Times New Roman"/>
          <w:color w:val="000000" w:themeColor="text1"/>
          <w:kern w:val="0"/>
          <w:sz w:val="32"/>
          <w:szCs w:val="32"/>
        </w:rPr>
        <w:t>）</w:t>
      </w:r>
      <w:r>
        <w:rPr>
          <w:rFonts w:hint="default" w:ascii="Times New Roman" w:hAnsi="Times New Roman" w:eastAsia="楷体_GB2312" w:cs="Times New Roman"/>
          <w:bCs/>
          <w:color w:val="000000" w:themeColor="text1"/>
          <w:sz w:val="32"/>
          <w:szCs w:val="32"/>
        </w:rPr>
        <w:t>“三公”经费安排情况说明</w:t>
      </w:r>
      <w:r>
        <w:rPr>
          <w:rFonts w:hint="default" w:ascii="Times New Roman" w:hAnsi="Times New Roman" w:eastAsia="仿宋_GB2312" w:cs="Times New Roman"/>
          <w:bCs/>
          <w:color w:val="000000" w:themeColor="text1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 xml:space="preserve"> 无</w:t>
      </w:r>
      <w:r>
        <w:rPr>
          <w:rFonts w:hint="default" w:ascii="Times New Roman" w:hAnsi="Times New Roman" w:eastAsia="仿宋_GB2312" w:cs="Times New Roman"/>
          <w:bCs/>
          <w:color w:val="000000" w:themeColor="text1"/>
          <w:sz w:val="32"/>
          <w:szCs w:val="32"/>
        </w:rPr>
        <w:t>“三公”经费</w:t>
      </w:r>
      <w:r>
        <w:rPr>
          <w:rFonts w:hint="default" w:ascii="Times New Roman" w:hAnsi="Times New Roman" w:eastAsia="仿宋_GB2312" w:cs="Times New Roman"/>
          <w:bCs/>
          <w:color w:val="000000" w:themeColor="text1"/>
          <w:sz w:val="32"/>
          <w:szCs w:val="32"/>
          <w:lang w:eastAsia="zh-CN"/>
        </w:rPr>
        <w:t>。</w:t>
      </w:r>
    </w:p>
    <w:sectPr>
      <w:footerReference r:id="rId4" w:type="default"/>
      <w:pgSz w:w="11906" w:h="16838"/>
      <w:pgMar w:top="1247" w:right="1797" w:bottom="1247" w:left="1797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+mn-cs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w:pict>
        <v:shape id="_x0000_s4098" o:spid="_x0000_s4098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3"/>
                  <w:rPr>
                    <w:rFonts w:hint="eastAsia" w:eastAsia="宋体"/>
                    <w:lang w:eastAsia="zh-CN"/>
                  </w:rPr>
                </w:pPr>
                <w:r>
                  <w:rPr>
                    <w:rFonts w:hint="eastAsia" w:ascii="仿宋_GB2312" w:hAnsi="仿宋_GB2312" w:eastAsia="仿宋_GB2312" w:cs="仿宋_GB2312"/>
                    <w:sz w:val="36"/>
                    <w:szCs w:val="36"/>
                    <w:lang w:eastAsia="zh-CN"/>
                  </w:rPr>
                  <w:fldChar w:fldCharType="begin"/>
                </w:r>
                <w:r>
                  <w:rPr>
                    <w:rFonts w:hint="eastAsia" w:ascii="仿宋_GB2312" w:hAnsi="仿宋_GB2312" w:eastAsia="仿宋_GB2312" w:cs="仿宋_GB2312"/>
                    <w:sz w:val="36"/>
                    <w:szCs w:val="36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 w:ascii="仿宋_GB2312" w:hAnsi="仿宋_GB2312" w:eastAsia="仿宋_GB2312" w:cs="仿宋_GB2312"/>
                    <w:sz w:val="36"/>
                    <w:szCs w:val="36"/>
                    <w:lang w:eastAsia="zh-CN"/>
                  </w:rPr>
                  <w:fldChar w:fldCharType="separate"/>
                </w:r>
                <w:r>
                  <w:rPr>
                    <w:rFonts w:hint="eastAsia" w:ascii="仿宋_GB2312" w:hAnsi="仿宋_GB2312" w:eastAsia="仿宋_GB2312" w:cs="仿宋_GB2312"/>
                    <w:sz w:val="36"/>
                    <w:szCs w:val="36"/>
                    <w:lang w:eastAsia="zh-CN"/>
                  </w:rPr>
                  <w:t>1</w:t>
                </w:r>
                <w:r>
                  <w:rPr>
                    <w:rFonts w:hint="eastAsia" w:ascii="仿宋_GB2312" w:hAnsi="仿宋_GB2312" w:eastAsia="仿宋_GB2312" w:cs="仿宋_GB2312"/>
                    <w:sz w:val="36"/>
                    <w:szCs w:val="36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794354"/>
    <w:rsid w:val="00097272"/>
    <w:rsid w:val="005916A7"/>
    <w:rsid w:val="005D37A4"/>
    <w:rsid w:val="00622A89"/>
    <w:rsid w:val="00794354"/>
    <w:rsid w:val="007A5D71"/>
    <w:rsid w:val="00876408"/>
    <w:rsid w:val="008B456B"/>
    <w:rsid w:val="00960924"/>
    <w:rsid w:val="00A13EBA"/>
    <w:rsid w:val="00B740DD"/>
    <w:rsid w:val="00BB0895"/>
    <w:rsid w:val="00BE7EF7"/>
    <w:rsid w:val="00D07122"/>
    <w:rsid w:val="00DD7CF9"/>
    <w:rsid w:val="027F295D"/>
    <w:rsid w:val="035C4F9C"/>
    <w:rsid w:val="05FE65A5"/>
    <w:rsid w:val="06147AAA"/>
    <w:rsid w:val="0B110B62"/>
    <w:rsid w:val="0BB7441D"/>
    <w:rsid w:val="0C235971"/>
    <w:rsid w:val="0E246AC8"/>
    <w:rsid w:val="0EDE5196"/>
    <w:rsid w:val="0FC345DF"/>
    <w:rsid w:val="101B44C4"/>
    <w:rsid w:val="11692356"/>
    <w:rsid w:val="116F3259"/>
    <w:rsid w:val="12600070"/>
    <w:rsid w:val="12A03269"/>
    <w:rsid w:val="12E24EE2"/>
    <w:rsid w:val="13045C54"/>
    <w:rsid w:val="1698314C"/>
    <w:rsid w:val="16D54DAA"/>
    <w:rsid w:val="17A46225"/>
    <w:rsid w:val="17B4152D"/>
    <w:rsid w:val="199161AB"/>
    <w:rsid w:val="1A5F7EAF"/>
    <w:rsid w:val="1D415A79"/>
    <w:rsid w:val="1DBC200B"/>
    <w:rsid w:val="1E1710B0"/>
    <w:rsid w:val="1EA4421B"/>
    <w:rsid w:val="1EBE7660"/>
    <w:rsid w:val="1F07728D"/>
    <w:rsid w:val="20352425"/>
    <w:rsid w:val="2148136C"/>
    <w:rsid w:val="221D0074"/>
    <w:rsid w:val="22E4422D"/>
    <w:rsid w:val="23743FED"/>
    <w:rsid w:val="2428033F"/>
    <w:rsid w:val="256A4234"/>
    <w:rsid w:val="279A56EE"/>
    <w:rsid w:val="28811F21"/>
    <w:rsid w:val="29AB5244"/>
    <w:rsid w:val="2AFA0C51"/>
    <w:rsid w:val="2B62588B"/>
    <w:rsid w:val="2D56645B"/>
    <w:rsid w:val="2E392C2E"/>
    <w:rsid w:val="2EFB60B0"/>
    <w:rsid w:val="312D0C1C"/>
    <w:rsid w:val="31B72BFE"/>
    <w:rsid w:val="31CB4C46"/>
    <w:rsid w:val="31F3755F"/>
    <w:rsid w:val="329126B7"/>
    <w:rsid w:val="32AE6AE3"/>
    <w:rsid w:val="345D39DA"/>
    <w:rsid w:val="34A16354"/>
    <w:rsid w:val="34C33F61"/>
    <w:rsid w:val="34D5735F"/>
    <w:rsid w:val="36643870"/>
    <w:rsid w:val="39395A72"/>
    <w:rsid w:val="39417FEA"/>
    <w:rsid w:val="3A0B688A"/>
    <w:rsid w:val="3B10725B"/>
    <w:rsid w:val="3B2B6ECB"/>
    <w:rsid w:val="3C2E6ED8"/>
    <w:rsid w:val="41313501"/>
    <w:rsid w:val="420630B4"/>
    <w:rsid w:val="42470BD6"/>
    <w:rsid w:val="42543895"/>
    <w:rsid w:val="4364255D"/>
    <w:rsid w:val="44043735"/>
    <w:rsid w:val="446D1FD7"/>
    <w:rsid w:val="46841AFB"/>
    <w:rsid w:val="487D0B54"/>
    <w:rsid w:val="4A53157D"/>
    <w:rsid w:val="4AFD0675"/>
    <w:rsid w:val="4B877EA4"/>
    <w:rsid w:val="4BA705DA"/>
    <w:rsid w:val="4C626614"/>
    <w:rsid w:val="4D2408F1"/>
    <w:rsid w:val="4DBE0D45"/>
    <w:rsid w:val="4ED47542"/>
    <w:rsid w:val="4F135646"/>
    <w:rsid w:val="4FB022E6"/>
    <w:rsid w:val="513B0C62"/>
    <w:rsid w:val="513E4938"/>
    <w:rsid w:val="542362F8"/>
    <w:rsid w:val="54DE0128"/>
    <w:rsid w:val="56602CDF"/>
    <w:rsid w:val="574C7A7C"/>
    <w:rsid w:val="57E2607E"/>
    <w:rsid w:val="58063986"/>
    <w:rsid w:val="58FE4E8A"/>
    <w:rsid w:val="590A5499"/>
    <w:rsid w:val="5BC06FED"/>
    <w:rsid w:val="5EB70FA1"/>
    <w:rsid w:val="602E385D"/>
    <w:rsid w:val="604C73F1"/>
    <w:rsid w:val="60C07B46"/>
    <w:rsid w:val="63447FE7"/>
    <w:rsid w:val="63637565"/>
    <w:rsid w:val="640A0F49"/>
    <w:rsid w:val="640A38BE"/>
    <w:rsid w:val="65105C3C"/>
    <w:rsid w:val="6AE57FC5"/>
    <w:rsid w:val="6B45548A"/>
    <w:rsid w:val="6BC90C4F"/>
    <w:rsid w:val="6D69409D"/>
    <w:rsid w:val="6F0F5516"/>
    <w:rsid w:val="70C668F8"/>
    <w:rsid w:val="70C80EBA"/>
    <w:rsid w:val="75EC1127"/>
    <w:rsid w:val="76EE6BE7"/>
    <w:rsid w:val="783E23B6"/>
    <w:rsid w:val="79D9405D"/>
    <w:rsid w:val="7B5B1F92"/>
    <w:rsid w:val="7B6F26B2"/>
    <w:rsid w:val="7C0269AC"/>
    <w:rsid w:val="7CF300EE"/>
    <w:rsid w:val="7D2E2A18"/>
    <w:rsid w:val="7DB64FC4"/>
    <w:rsid w:val="7DF126B9"/>
    <w:rsid w:val="7FA26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name="toc 1"/>
    <w:lsdException w:qFormat="1"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12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toc 1"/>
    <w:basedOn w:val="1"/>
    <w:next w:val="1"/>
    <w:semiHidden/>
    <w:unhideWhenUsed/>
    <w:qFormat/>
    <w:uiPriority w:val="39"/>
  </w:style>
  <w:style w:type="paragraph" w:styleId="6">
    <w:name w:val="toc 2"/>
    <w:basedOn w:val="1"/>
    <w:next w:val="1"/>
    <w:semiHidden/>
    <w:unhideWhenUsed/>
    <w:qFormat/>
    <w:uiPriority w:val="39"/>
    <w:pPr>
      <w:ind w:left="420" w:leftChars="200"/>
    </w:pPr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9">
    <w:name w:val="FollowedHyperlink"/>
    <w:basedOn w:val="8"/>
    <w:semiHidden/>
    <w:unhideWhenUsed/>
    <w:qFormat/>
    <w:uiPriority w:val="99"/>
    <w:rPr>
      <w:color w:val="333333"/>
      <w:u w:val="none"/>
    </w:rPr>
  </w:style>
  <w:style w:type="character" w:styleId="10">
    <w:name w:val="Hyperlink"/>
    <w:basedOn w:val="8"/>
    <w:semiHidden/>
    <w:unhideWhenUsed/>
    <w:qFormat/>
    <w:uiPriority w:val="99"/>
    <w:rPr>
      <w:color w:val="333333"/>
      <w:u w:val="none"/>
    </w:rPr>
  </w:style>
  <w:style w:type="character" w:customStyle="1" w:styleId="12">
    <w:name w:val="页眉 Char"/>
    <w:basedOn w:val="8"/>
    <w:link w:val="4"/>
    <w:semiHidden/>
    <w:qFormat/>
    <w:uiPriority w:val="99"/>
    <w:rPr>
      <w:sz w:val="18"/>
      <w:szCs w:val="18"/>
    </w:rPr>
  </w:style>
  <w:style w:type="character" w:customStyle="1" w:styleId="13">
    <w:name w:val="页脚 Char"/>
    <w:basedOn w:val="8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8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288</Words>
  <Characters>1648</Characters>
  <Lines>13</Lines>
  <Paragraphs>3</Paragraphs>
  <ScaleCrop>false</ScaleCrop>
  <LinksUpToDate>false</LinksUpToDate>
  <CharactersWithSpaces>1933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2018-01-26T02:10:00Z</dcterms:created>
  <dc:creator>周强</dc:creator>
  <cp:lastModifiedBy>Administrator</cp:lastModifiedBy>
  <cp:lastPrinted>2018-03-01T07:23:46Z</cp:lastPrinted>
  <dcterms:modified xsi:type="dcterms:W3CDTF">2018-03-01T07:25:31Z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