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534" w:tblpY="490"/>
        <w:tblOverlap w:val="never"/>
        <w:tblW w:w="1068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4"/>
        <w:gridCol w:w="552"/>
        <w:gridCol w:w="899"/>
        <w:gridCol w:w="693"/>
        <w:gridCol w:w="927"/>
        <w:gridCol w:w="900"/>
        <w:gridCol w:w="878"/>
        <w:gridCol w:w="68"/>
        <w:gridCol w:w="877"/>
        <w:gridCol w:w="336"/>
        <w:gridCol w:w="652"/>
        <w:gridCol w:w="198"/>
        <w:gridCol w:w="771"/>
        <w:gridCol w:w="679"/>
        <w:gridCol w:w="720"/>
        <w:gridCol w:w="808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682" w:type="dxa"/>
            <w:gridSpan w:val="16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方正小标宋_GBK" w:eastAsia="仿宋_GB2312" w:cs="方正小标宋_GBK"/>
                <w:b/>
                <w:sz w:val="30"/>
                <w:szCs w:val="30"/>
                <w:highlight w:val="none"/>
              </w:rPr>
            </w:pPr>
            <w:bookmarkStart w:id="0" w:name="_GoBack"/>
            <w:r>
              <w:rPr>
                <w:rFonts w:hint="eastAsia" w:ascii="仿宋_GB2312" w:hAnsi="方正小标宋_GBK" w:eastAsia="仿宋_GB2312" w:cs="方正小标宋_GBK"/>
                <w:b/>
                <w:kern w:val="0"/>
                <w:sz w:val="30"/>
                <w:szCs w:val="30"/>
                <w:highlight w:val="none"/>
                <w:lang w:bidi="ar"/>
              </w:rPr>
              <w:t>国有资产占有使用情况表</w:t>
            </w:r>
            <w:bookmarkEnd w:id="0"/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 w:hRule="atLeast"/>
        </w:trPr>
        <w:tc>
          <w:tcPr>
            <w:tcW w:w="5641" w:type="dxa"/>
            <w:gridSpan w:val="8"/>
            <w:tcBorders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77" w:type="dxa"/>
            <w:tcBorders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988" w:type="dxa"/>
            <w:gridSpan w:val="2"/>
            <w:tcBorders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198" w:type="dxa"/>
            <w:tcBorders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771" w:type="dxa"/>
            <w:tcBorders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679" w:type="dxa"/>
            <w:tcBorders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1528" w:type="dxa"/>
            <w:gridSpan w:val="2"/>
            <w:tcBorders>
              <w:bottom w:val="single" w:color="808080" w:sz="4" w:space="0"/>
            </w:tcBorders>
            <w:shd w:val="clear" w:color="auto" w:fill="FFFFFF"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单位：万元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5" w:hRule="atLeast"/>
        </w:trPr>
        <w:tc>
          <w:tcPr>
            <w:tcW w:w="724" w:type="dxa"/>
            <w:vMerge w:val="restart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项目</w:t>
            </w:r>
          </w:p>
        </w:tc>
        <w:tc>
          <w:tcPr>
            <w:tcW w:w="552" w:type="dxa"/>
            <w:vMerge w:val="restart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行次</w:t>
            </w:r>
          </w:p>
        </w:tc>
        <w:tc>
          <w:tcPr>
            <w:tcW w:w="899" w:type="dxa"/>
            <w:vMerge w:val="restart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资产总额</w:t>
            </w:r>
          </w:p>
        </w:tc>
        <w:tc>
          <w:tcPr>
            <w:tcW w:w="693" w:type="dxa"/>
            <w:vMerge w:val="restart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流动资产</w:t>
            </w:r>
          </w:p>
        </w:tc>
        <w:tc>
          <w:tcPr>
            <w:tcW w:w="4836" w:type="dxa"/>
            <w:gridSpan w:val="8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固定资产</w:t>
            </w:r>
          </w:p>
        </w:tc>
        <w:tc>
          <w:tcPr>
            <w:tcW w:w="771" w:type="dxa"/>
            <w:vMerge w:val="restart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对外投资/有价证券</w:t>
            </w:r>
          </w:p>
        </w:tc>
        <w:tc>
          <w:tcPr>
            <w:tcW w:w="679" w:type="dxa"/>
            <w:vMerge w:val="restart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在建工程</w:t>
            </w:r>
          </w:p>
        </w:tc>
        <w:tc>
          <w:tcPr>
            <w:tcW w:w="72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无形资产</w:t>
            </w:r>
          </w:p>
        </w:tc>
        <w:tc>
          <w:tcPr>
            <w:tcW w:w="808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其他资产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724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552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99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693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9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小计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房屋构筑物</w:t>
            </w:r>
          </w:p>
        </w:tc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汽车</w:t>
            </w:r>
          </w:p>
        </w:tc>
        <w:tc>
          <w:tcPr>
            <w:tcW w:w="128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单价200万以上大型设备</w:t>
            </w:r>
          </w:p>
        </w:tc>
        <w:tc>
          <w:tcPr>
            <w:tcW w:w="85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其他固定资产</w:t>
            </w:r>
          </w:p>
        </w:tc>
        <w:tc>
          <w:tcPr>
            <w:tcW w:w="771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724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552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99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693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9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128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5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771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679" w:type="dxa"/>
            <w:vMerge w:val="continue"/>
            <w:tcBorders>
              <w:top w:val="single" w:color="80808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栏次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4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5</w:t>
            </w:r>
          </w:p>
        </w:tc>
        <w:tc>
          <w:tcPr>
            <w:tcW w:w="1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7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8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9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10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11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3" w:hRule="atLeas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合计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</w:rPr>
              <w:t>2178.56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</w:rPr>
              <w:t>294.73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</w:rPr>
              <w:t>1883.83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</w:rPr>
              <w:t>1077.40</w:t>
            </w:r>
          </w:p>
        </w:tc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</w:rPr>
              <w:t>350.19</w:t>
            </w:r>
          </w:p>
        </w:tc>
        <w:tc>
          <w:tcPr>
            <w:tcW w:w="1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hint="eastAsia" w:ascii="宋体" w:hAnsi="宋体" w:cs="宋体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sz w:val="20"/>
                <w:szCs w:val="20"/>
                <w:highlight w:val="none"/>
              </w:rPr>
              <w:t>456.24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ascii="宋体" w:hAnsi="宋体" w:cs="宋体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" w:hRule="atLeast"/>
        </w:trPr>
        <w:tc>
          <w:tcPr>
            <w:tcW w:w="9154" w:type="dxa"/>
            <w:gridSpan w:val="14"/>
            <w:vAlign w:val="bottom"/>
          </w:tcPr>
          <w:p>
            <w:pPr>
              <w:rPr>
                <w:rFonts w:ascii="Arial" w:hAnsi="Arial" w:cs="Arial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填报说明：　1.资产总额＝流动资产＋固定资产＋对外投资／有价证券＋在建工程＋无形资产＋其他资产</w:t>
            </w:r>
          </w:p>
        </w:tc>
        <w:tc>
          <w:tcPr>
            <w:tcW w:w="720" w:type="dxa"/>
            <w:vAlign w:val="bottom"/>
          </w:tcPr>
          <w:p>
            <w:pPr>
              <w:rPr>
                <w:rFonts w:ascii="Arial" w:hAnsi="Arial" w:cs="Arial"/>
                <w:sz w:val="20"/>
                <w:szCs w:val="20"/>
                <w:highlight w:val="none"/>
              </w:rPr>
            </w:pPr>
          </w:p>
        </w:tc>
        <w:tc>
          <w:tcPr>
            <w:tcW w:w="808" w:type="dxa"/>
            <w:vAlign w:val="bottom"/>
          </w:tcPr>
          <w:p>
            <w:pPr>
              <w:rPr>
                <w:rFonts w:ascii="Arial" w:hAnsi="Arial" w:cs="Arial"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9874" w:type="dxa"/>
            <w:gridSpan w:val="15"/>
            <w:vAlign w:val="bottom"/>
          </w:tcPr>
          <w:p>
            <w:pPr>
              <w:rPr>
                <w:rFonts w:ascii="Arial" w:hAnsi="Arial" w:cs="Arial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highlight w:val="none"/>
                <w:lang w:bidi="ar"/>
              </w:rPr>
              <w:t>　　　　　　</w:t>
            </w:r>
            <w:r>
              <w:rPr>
                <w:rStyle w:val="4"/>
                <w:color w:val="auto"/>
                <w:highlight w:val="none"/>
                <w:lang w:bidi="ar"/>
              </w:rPr>
              <w:t>2.</w:t>
            </w:r>
            <w:r>
              <w:rPr>
                <w:rStyle w:val="5"/>
                <w:rFonts w:hint="default"/>
                <w:color w:val="auto"/>
                <w:highlight w:val="none"/>
                <w:lang w:bidi="ar"/>
              </w:rPr>
              <w:t>固定资产＝房屋构筑物＋汽车＋单价</w:t>
            </w:r>
            <w:r>
              <w:rPr>
                <w:rStyle w:val="4"/>
                <w:color w:val="auto"/>
                <w:highlight w:val="none"/>
                <w:lang w:bidi="ar"/>
              </w:rPr>
              <w:t>200</w:t>
            </w:r>
            <w:r>
              <w:rPr>
                <w:rStyle w:val="5"/>
                <w:rFonts w:hint="default"/>
                <w:color w:val="auto"/>
                <w:highlight w:val="none"/>
                <w:lang w:bidi="ar"/>
              </w:rPr>
              <w:t>万元以上大型设备＋其他固定资产</w:t>
            </w:r>
          </w:p>
        </w:tc>
        <w:tc>
          <w:tcPr>
            <w:tcW w:w="808" w:type="dxa"/>
            <w:vAlign w:val="bottom"/>
          </w:tcPr>
          <w:p>
            <w:pPr>
              <w:rPr>
                <w:rFonts w:ascii="Arial" w:hAnsi="Arial" w:cs="Arial"/>
                <w:sz w:val="20"/>
                <w:szCs w:val="20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667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">
    <w:name w:val="font11"/>
    <w:basedOn w:val="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2017-09-14T08:04:27Z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